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bCs/>
          <w:color w:val="000000"/>
          <w:szCs w:val="20"/>
        </w:rPr>
      </w:pPr>
      <w:r>
        <w:rPr>
          <w:rFonts w:cs="Arial" w:ascii="Arial" w:hAnsi="Arial"/>
          <w:b/>
          <w:bCs/>
          <w:color w:val="000000"/>
          <w:sz w:val="22"/>
          <w:szCs w:val="22"/>
        </w:rPr>
        <w:t>TERMO DE REFERÊNCIA</w:t>
      </w:r>
    </w:p>
    <w:p>
      <w:pPr>
        <w:pStyle w:val="Normal"/>
        <w:jc w:val="center"/>
        <w:rPr>
          <w:rFonts w:cs="Arial"/>
          <w:b/>
          <w:b/>
          <w:bCs/>
          <w:color w:val="000000"/>
          <w:szCs w:val="20"/>
        </w:rPr>
      </w:pPr>
      <w:r>
        <w:rPr>
          <w:rFonts w:cs="Arial" w:ascii="Arial" w:hAnsi="Arial"/>
          <w:b/>
          <w:bCs/>
          <w:color w:val="000000"/>
          <w:sz w:val="22"/>
          <w:szCs w:val="22"/>
        </w:rPr>
        <w:t xml:space="preserve">PREGÃO PRESENCIAL, ELETRÔNICO </w:t>
      </w:r>
    </w:p>
    <w:p>
      <w:pPr>
        <w:pStyle w:val="Normal"/>
        <w:jc w:val="center"/>
        <w:rPr>
          <w:rFonts w:cs="Arial"/>
          <w:b/>
          <w:b/>
          <w:bCs/>
          <w:iCs/>
          <w:color w:val="000000"/>
          <w:szCs w:val="20"/>
        </w:rPr>
      </w:pPr>
      <w:r>
        <w:rPr>
          <w:rFonts w:cs="Arial" w:ascii="Arial" w:hAnsi="Arial"/>
          <w:b/>
          <w:bCs/>
          <w:iCs/>
          <w:color w:val="000000"/>
          <w:sz w:val="22"/>
          <w:szCs w:val="22"/>
        </w:rPr>
        <w:t>(COMPRAS)</w:t>
      </w:r>
    </w:p>
    <w:p>
      <w:pPr>
        <w:pStyle w:val="Normal"/>
        <w:spacing w:lineRule="auto" w:line="276" w:before="0" w:after="120"/>
        <w:ind w:left="0" w:right="0" w:hanging="0"/>
        <w:jc w:val="center"/>
        <w:rPr>
          <w:rFonts w:ascii="Arial" w:hAnsi="Arial" w:cs="Arial"/>
          <w:b/>
          <w:b/>
          <w:bCs/>
          <w:i/>
          <w:i/>
          <w:color w:val="FF0000"/>
          <w:sz w:val="22"/>
          <w:szCs w:val="22"/>
        </w:rPr>
      </w:pPr>
      <w:r>
        <w:rPr>
          <w:rFonts w:cs="Arial" w:ascii="Arial" w:hAnsi="Arial"/>
          <w:b/>
          <w:bCs/>
          <w:i/>
          <w:color w:val="FF0000"/>
          <w:sz w:val="22"/>
          <w:szCs w:val="22"/>
        </w:rPr>
      </w:r>
    </w:p>
    <w:p>
      <w:pPr>
        <w:pStyle w:val="Normal"/>
        <w:spacing w:lineRule="auto" w:line="276"/>
        <w:jc w:val="center"/>
        <w:rPr>
          <w:rFonts w:cs="Arial"/>
          <w:b/>
          <w:b/>
          <w:bCs/>
          <w:i w:val="false"/>
          <w:i w:val="false"/>
          <w:iCs w:val="false"/>
          <w:color w:val="000000"/>
          <w:szCs w:val="20"/>
        </w:rPr>
      </w:pPr>
      <w:r>
        <w:rPr>
          <w:rFonts w:cs="Arial" w:ascii="Arial" w:hAnsi="Arial"/>
          <w:b/>
          <w:bCs/>
          <w:i w:val="false"/>
          <w:iCs w:val="false"/>
          <w:color w:val="000000"/>
          <w:sz w:val="22"/>
          <w:szCs w:val="22"/>
        </w:rPr>
        <w:t>UNIVERSIDADE FEDERAL DE ALAGOAS</w:t>
      </w:r>
    </w:p>
    <w:p>
      <w:pPr>
        <w:pStyle w:val="Normal"/>
        <w:spacing w:lineRule="auto" w:line="276"/>
        <w:jc w:val="center"/>
        <w:rPr>
          <w:rFonts w:cs="Arial"/>
          <w:b/>
          <w:b/>
          <w:bCs/>
          <w:color w:val="000000"/>
          <w:szCs w:val="20"/>
        </w:rPr>
      </w:pPr>
      <w:r>
        <w:rPr>
          <w:rFonts w:cs="Arial" w:ascii="Arial" w:hAnsi="Arial"/>
          <w:b/>
          <w:bCs/>
          <w:color w:val="000000"/>
          <w:sz w:val="22"/>
          <w:szCs w:val="22"/>
        </w:rPr>
        <w:t>PREGÃO Nº 02/2020</w:t>
      </w:r>
    </w:p>
    <w:p>
      <w:pPr>
        <w:pStyle w:val="Normal"/>
        <w:spacing w:lineRule="auto" w:line="276"/>
        <w:jc w:val="center"/>
        <w:rPr>
          <w:rFonts w:ascii="Arial" w:hAnsi="Arial"/>
          <w:sz w:val="22"/>
          <w:szCs w:val="22"/>
        </w:rPr>
      </w:pPr>
      <w:r>
        <w:rPr>
          <w:rFonts w:cs="Arial" w:ascii="Arial" w:hAnsi="Arial"/>
          <w:b/>
          <w:bCs/>
          <w:color w:val="000000"/>
          <w:sz w:val="22"/>
          <w:szCs w:val="22"/>
        </w:rPr>
        <w:t>(Processo Administrativo n.° 23065.009971/2020-90)</w:t>
      </w:r>
    </w:p>
    <w:p>
      <w:pPr>
        <w:pStyle w:val="Normal"/>
        <w:spacing w:lineRule="auto" w:line="276" w:before="0" w:after="120"/>
        <w:ind w:left="0" w:right="0" w:hanging="0"/>
        <w:jc w:val="center"/>
        <w:rPr>
          <w:rFonts w:ascii="Arial" w:hAnsi="Arial" w:cs="Arial"/>
          <w:b/>
          <w:b/>
          <w:bCs/>
          <w:color w:val="000000"/>
          <w:sz w:val="22"/>
          <w:szCs w:val="22"/>
        </w:rPr>
      </w:pPr>
      <w:r>
        <w:rPr>
          <w:rFonts w:cs="Arial" w:ascii="Arial" w:hAnsi="Arial"/>
          <w:b/>
          <w:bCs/>
          <w:color w:val="000000"/>
          <w:sz w:val="22"/>
          <w:szCs w:val="22"/>
        </w:rPr>
      </w:r>
    </w:p>
    <w:p>
      <w:pPr>
        <w:pStyle w:val="Nivel1"/>
        <w:numPr>
          <w:ilvl w:val="0"/>
          <w:numId w:val="1"/>
        </w:numPr>
        <w:rPr>
          <w:rFonts w:ascii="Arial" w:hAnsi="Arial"/>
          <w:sz w:val="22"/>
          <w:szCs w:val="22"/>
        </w:rPr>
      </w:pPr>
      <w:r>
        <w:rPr>
          <w:rFonts w:ascii="Arial" w:hAnsi="Arial"/>
          <w:sz w:val="22"/>
          <w:szCs w:val="22"/>
        </w:rPr>
        <w:t>DO OBJETO</w:t>
      </w:r>
    </w:p>
    <w:p>
      <w:pPr>
        <w:pStyle w:val="Normal"/>
        <w:widowControl/>
        <w:suppressAutoHyphens w:val="true"/>
        <w:overflowPunct w:val="true"/>
        <w:bidi w:val="0"/>
        <w:spacing w:lineRule="auto" w:line="276" w:before="120" w:after="120"/>
        <w:ind w:left="510" w:right="0" w:hanging="0"/>
        <w:jc w:val="both"/>
        <w:rPr>
          <w:rFonts w:ascii="Arial" w:hAnsi="Arial"/>
          <w:sz w:val="22"/>
          <w:szCs w:val="22"/>
        </w:rPr>
      </w:pPr>
      <w:r>
        <w:rPr>
          <w:rFonts w:cs="Arial" w:ascii="Arial" w:hAnsi="Arial"/>
          <w:i w:val="false"/>
          <w:iCs w:val="false"/>
          <w:color w:val="000000"/>
          <w:sz w:val="22"/>
          <w:szCs w:val="22"/>
          <w:shd w:fill="FFFFFF" w:val="clear"/>
        </w:rPr>
        <w:t>1.1. Aquisição de ração para o Biotério Central,</w:t>
      </w:r>
      <w:r>
        <w:rPr>
          <w:rFonts w:cs="Arial" w:ascii="Arial" w:hAnsi="Arial"/>
          <w:i/>
          <w:color w:val="FF0000"/>
          <w:sz w:val="22"/>
          <w:szCs w:val="22"/>
          <w:shd w:fill="FFFFFF" w:val="clear"/>
        </w:rPr>
        <w:t xml:space="preserve"> </w:t>
      </w:r>
      <w:r>
        <w:rPr>
          <w:rFonts w:cs="Arial" w:ascii="Arial" w:hAnsi="Arial"/>
          <w:i w:val="false"/>
          <w:iCs w:val="false"/>
          <w:color w:val="000000"/>
          <w:sz w:val="22"/>
          <w:szCs w:val="22"/>
          <w:shd w:fill="FFFFFF" w:val="clear"/>
        </w:rPr>
        <w:t>conforme condições, quantidades e exigências estabelecidas neste instrumento:</w:t>
      </w:r>
    </w:p>
    <w:p>
      <w:pPr>
        <w:pStyle w:val="Normal"/>
        <w:spacing w:lineRule="auto" w:line="276" w:before="120" w:after="120"/>
        <w:jc w:val="both"/>
        <w:rPr>
          <w:rFonts w:ascii="Arial" w:hAnsi="Arial"/>
          <w:sz w:val="22"/>
          <w:szCs w:val="22"/>
          <w:shd w:fill="FFFFFF" w:val="clear"/>
        </w:rPr>
      </w:pPr>
      <w:r>
        <w:rPr>
          <w:rFonts w:ascii="Arial" w:hAnsi="Arial"/>
          <w:sz w:val="22"/>
          <w:szCs w:val="22"/>
          <w:shd w:fill="FFFFFF" w:val="clear"/>
        </w:rPr>
      </w:r>
    </w:p>
    <w:tbl>
      <w:tblPr>
        <w:tblW w:w="10500" w:type="dxa"/>
        <w:jc w:val="left"/>
        <w:tblInd w:w="-8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Pr>
      <w:tblGrid>
        <w:gridCol w:w="900"/>
        <w:gridCol w:w="4935"/>
        <w:gridCol w:w="1530"/>
        <w:gridCol w:w="1140"/>
        <w:gridCol w:w="795"/>
        <w:gridCol w:w="1200"/>
      </w:tblGrid>
      <w:tr>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jc w:val="center"/>
              <w:rPr>
                <w:rFonts w:ascii="Arial" w:hAnsi="Arial"/>
                <w:sz w:val="18"/>
                <w:szCs w:val="18"/>
              </w:rPr>
            </w:pPr>
            <w:r>
              <w:rPr>
                <w:rFonts w:cs="Arial" w:ascii="Arial" w:hAnsi="Arial"/>
                <w:b/>
                <w:bCs/>
                <w:color w:val="000000"/>
                <w:sz w:val="18"/>
                <w:szCs w:val="18"/>
                <w:shd w:fill="FFFFFF" w:val="clear"/>
              </w:rPr>
              <w:t>ITEM</w:t>
            </w:r>
          </w:p>
        </w:tc>
        <w:tc>
          <w:tcPr>
            <w:tcW w:w="4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jc w:val="center"/>
              <w:rPr>
                <w:rFonts w:cs="Arial"/>
                <w:b/>
                <w:b/>
                <w:bCs/>
                <w:color w:val="000000"/>
                <w:sz w:val="14"/>
                <w:szCs w:val="14"/>
                <w:highlight w:val="white"/>
              </w:rPr>
            </w:pPr>
            <w:r>
              <w:rPr>
                <w:rFonts w:cs="Arial" w:ascii="Arial" w:hAnsi="Arial"/>
                <w:b/>
                <w:bCs/>
                <w:color w:val="000000"/>
                <w:sz w:val="18"/>
                <w:szCs w:val="18"/>
                <w:shd w:fill="FFFFFF" w:val="clear"/>
              </w:rPr>
              <w:t>DESCRIÇÃO/</w:t>
            </w:r>
          </w:p>
          <w:p>
            <w:pPr>
              <w:pStyle w:val="Normal"/>
              <w:widowControl w:val="false"/>
              <w:suppressAutoHyphens w:val="true"/>
              <w:jc w:val="center"/>
              <w:rPr>
                <w:rFonts w:cs="Arial"/>
                <w:b/>
                <w:b/>
                <w:bCs/>
                <w:color w:val="000000"/>
                <w:sz w:val="14"/>
                <w:szCs w:val="14"/>
                <w:highlight w:val="white"/>
              </w:rPr>
            </w:pPr>
            <w:r>
              <w:rPr>
                <w:rFonts w:cs="Arial" w:ascii="Arial" w:hAnsi="Arial"/>
                <w:b/>
                <w:bCs/>
                <w:color w:val="000000"/>
                <w:sz w:val="18"/>
                <w:szCs w:val="18"/>
                <w:shd w:fill="FFFFFF" w:val="clear"/>
              </w:rPr>
              <w:t>ESPECIFICAÇÃO</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jc w:val="center"/>
              <w:rPr>
                <w:rFonts w:cs="Arial"/>
                <w:b/>
                <w:b/>
                <w:bCs/>
                <w:color w:val="000000"/>
                <w:sz w:val="14"/>
                <w:szCs w:val="14"/>
                <w:highlight w:val="white"/>
              </w:rPr>
            </w:pPr>
            <w:r>
              <w:rPr>
                <w:rFonts w:cs="Arial" w:ascii="Arial" w:hAnsi="Arial"/>
                <w:b/>
                <w:bCs/>
                <w:color w:val="000000"/>
                <w:sz w:val="18"/>
                <w:szCs w:val="18"/>
                <w:shd w:fill="FFFFFF" w:val="clear"/>
              </w:rPr>
              <w:t>IDENTIFICAÇÃO CATMAT</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top w:w="55" w:type="dxa"/>
              <w:left w:w="50" w:type="dxa"/>
              <w:bottom w:w="55" w:type="dxa"/>
            </w:tcMar>
            <w:vAlign w:val="center"/>
          </w:tcPr>
          <w:p>
            <w:pPr>
              <w:pStyle w:val="Normal"/>
              <w:widowControl w:val="false"/>
              <w:suppressAutoHyphens w:val="true"/>
              <w:jc w:val="center"/>
              <w:rPr>
                <w:rFonts w:cs="Arial"/>
                <w:b/>
                <w:b/>
                <w:bCs/>
                <w:color w:val="000000"/>
                <w:sz w:val="14"/>
                <w:szCs w:val="14"/>
                <w:highlight w:val="white"/>
              </w:rPr>
            </w:pPr>
            <w:r>
              <w:rPr>
                <w:rFonts w:cs="Arial" w:ascii="Arial" w:hAnsi="Arial"/>
                <w:b/>
                <w:bCs/>
                <w:color w:val="000000"/>
                <w:sz w:val="18"/>
                <w:szCs w:val="18"/>
                <w:shd w:fill="FFFFFF" w:val="clear"/>
              </w:rPr>
              <w:t>UNIDADE DE MEDIDA</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jc w:val="center"/>
              <w:rPr>
                <w:rFonts w:cs="Arial"/>
                <w:b/>
                <w:b/>
                <w:bCs/>
                <w:color w:val="000000"/>
                <w:sz w:val="14"/>
                <w:szCs w:val="14"/>
                <w:highlight w:val="white"/>
              </w:rPr>
            </w:pPr>
            <w:bookmarkStart w:id="0" w:name="__DdeLink__803_1639780047"/>
            <w:bookmarkEnd w:id="0"/>
            <w:r>
              <w:rPr>
                <w:rFonts w:cs="Arial" w:ascii="Arial" w:hAnsi="Arial"/>
                <w:b/>
                <w:bCs/>
                <w:color w:val="000000"/>
                <w:sz w:val="18"/>
                <w:szCs w:val="18"/>
                <w:shd w:fill="FFFFFF" w:val="clear"/>
              </w:rPr>
              <w:t>QUANT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jc w:val="center"/>
              <w:rPr>
                <w:rFonts w:cs="Arial"/>
                <w:b/>
                <w:b/>
                <w:bCs/>
                <w:color w:val="000000"/>
                <w:sz w:val="14"/>
                <w:szCs w:val="14"/>
                <w:highlight w:val="white"/>
              </w:rPr>
            </w:pPr>
            <w:r>
              <w:rPr>
                <w:rFonts w:cs="Arial" w:ascii="Arial" w:hAnsi="Arial"/>
                <w:b/>
                <w:bCs/>
                <w:color w:val="000000"/>
                <w:sz w:val="18"/>
                <w:szCs w:val="18"/>
                <w:shd w:fill="FFFFFF" w:val="clear"/>
              </w:rPr>
              <w:t>VALOR ESTIMADO</w:t>
            </w:r>
          </w:p>
        </w:tc>
      </w:tr>
      <w:tr>
        <w:trPr>
          <w:trHeight w:val="8443"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center"/>
              <w:rPr>
                <w:rFonts w:ascii="Arial" w:hAnsi="Arial"/>
                <w:sz w:val="18"/>
                <w:szCs w:val="18"/>
              </w:rPr>
            </w:pPr>
            <w:r>
              <w:rPr>
                <w:rFonts w:cs="Arial" w:ascii="Arial" w:hAnsi="Arial"/>
                <w:b/>
                <w:color w:val="000000"/>
                <w:sz w:val="18"/>
                <w:szCs w:val="18"/>
                <w:shd w:fill="FFFFFF" w:val="clear"/>
              </w:rPr>
              <w:t>1</w:t>
            </w:r>
          </w:p>
        </w:tc>
        <w:tc>
          <w:tcPr>
            <w:tcW w:w="4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both"/>
              <w:rPr>
                <w:rFonts w:ascii="Arial" w:hAnsi="Arial"/>
                <w:sz w:val="18"/>
                <w:szCs w:val="18"/>
              </w:rPr>
            </w:pPr>
            <w:r>
              <w:rPr>
                <w:rFonts w:ascii="Arial" w:hAnsi="Arial"/>
                <w:b w:val="false"/>
                <w:i w:val="false"/>
                <w:caps w:val="false"/>
                <w:smallCaps w:val="false"/>
                <w:color w:val="000000"/>
                <w:spacing w:val="0"/>
                <w:sz w:val="18"/>
                <w:szCs w:val="18"/>
              </w:rPr>
              <w:t xml:space="preserve">CATMAT - 150642 - </w:t>
            </w:r>
            <w:bookmarkStart w:id="1" w:name="__DdeLink__238_2183025394"/>
            <w:r>
              <w:rPr>
                <w:rFonts w:ascii="Arial" w:hAnsi="Arial"/>
                <w:b w:val="false"/>
                <w:i w:val="false"/>
                <w:caps w:val="false"/>
                <w:smallCaps w:val="false"/>
                <w:color w:val="000000"/>
                <w:spacing w:val="0"/>
                <w:sz w:val="18"/>
                <w:szCs w:val="18"/>
              </w:rPr>
              <w:t>Ração Peletizada e irradiada por raios gama (Dose mínima absorvida: 15 kGy), específica para ratos e camundongos criados em laboratório. COMPOSIÇÃO: Milho integral moído, farelo de soja, farelo de trigo, carbonato de cálcio, fosfato bicálcico, cloreto de sódio (sal comum), vitamina A, vitamina D3, vitamina E, vitamina K3, vitamina B1, vitamina B2, vitamina B6, vitamina B12, niacina, pantotenato de cálcio, ácido fólico, biotina, cloreto de colina, sulfato de ferro, monóxido de manganês, óxido de zinco, sulfato de cobre, iodato de cálcio, selenito de sódio, sulfato de cobalto, lisina, metionina, BHT. NÍVEIS DE GARANTIA POR QUILOGRAMA DO PRODUTO: Umidade (máx.) 125 g/kg - Proteína Bruta (min.) 220 g/kg - Extrato Etéreo (min.) 50 g/kg - Material Mineral (max.) 90 g/kg - Fibra Bruta (max.) 70 g/kg - Cálcio (min-máx.) 10 a 14 g/kg - Fósforo (min.) 6.000 mg/kg. SUPLEMENTAÇÃO POR QUILO: Vitamina A (mín) 13.000 UI/kg; Vitamina D3 (mín) 2.000 UI/kg; vitamina E (mín) 34 UI/kg; vitamina K3 (mín) 3 mg/kg; vitamina B1 (mín) 5 mg/kg; vitamina B2 (mín) 6 mg/kg; vitamina B6 (mín) 7 mg/kg; vitamina B12 (mín) 22 mcg/kg; niacina (mín) 60 mg/kg; Pantotên. de Calcio (mín) 21 mg/kg; ácido fólico (mín) 1 mg/kg; biotina (mín) 0,05 mg/kg; colina (mín) 1.900 mg/kg. MICROELEMENTOS MINERAIS: Sódio (mín) 2.700 mg/kg; Ferro (mín) 50 mg/kg; manganês 60 mg/kg; zinco (mín) 60 mg/kg; cobre (mín) 10 mg/kg; iodo (mín) 2 mg/kg; selênio (mín) 0,05 mg/kg; cobalto (mín) 1,5 mg/kg. Flúor (máx) 60 mg/kg. AMINOÁCIDOS: Lisina (mín) 12 g/kg; metionina (mín) 4.000 mg/kg. ADITIVOS: BHT 100 mg/kg PELLET: 15 A 16 mm de diâmetro e 30 a 40 mm de comprimento com alto grau de compactação. Fornecida em Sacos Plásticos duplos com 20 Kg. Validade: 180 dias. O produto deve possuir certificado de Irradiação, emitido pela empresa que industrializa/irradia, identificando o nome, o lote do produto e a dose da irradiação. Laudo bromatológico da ração irradiada detalhando o nome do produto e lote. Ambos os laudos devem ser enviados junto a cada remessa solicitada</w:t>
            </w:r>
            <w:bookmarkEnd w:id="1"/>
            <w:r>
              <w:rPr>
                <w:rFonts w:ascii="Arial" w:hAnsi="Arial"/>
                <w:b w:val="false"/>
                <w:i w:val="false"/>
                <w:caps w:val="false"/>
                <w:smallCaps w:val="false"/>
                <w:color w:val="000000"/>
                <w:spacing w:val="0"/>
                <w:sz w:val="18"/>
                <w:szCs w:val="18"/>
              </w:rPr>
              <w:t>.</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center"/>
              <w:rPr>
                <w:rFonts w:ascii="Arial" w:hAnsi="Arial"/>
                <w:sz w:val="18"/>
                <w:szCs w:val="18"/>
              </w:rPr>
            </w:pPr>
            <w:r>
              <w:rPr>
                <w:rFonts w:cs="Arial" w:ascii="Arial" w:hAnsi="Arial"/>
                <w:color w:val="000000"/>
                <w:sz w:val="18"/>
                <w:szCs w:val="18"/>
                <w:shd w:fill="FFFFFF" w:val="clear"/>
              </w:rPr>
              <w:t>150642</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center"/>
              <w:rPr>
                <w:rFonts w:ascii="Arial" w:hAnsi="Arial"/>
                <w:sz w:val="18"/>
                <w:szCs w:val="18"/>
              </w:rPr>
            </w:pPr>
            <w:r>
              <w:rPr>
                <w:rFonts w:cs="Arial" w:ascii="Arial" w:hAnsi="Arial"/>
                <w:color w:val="000000"/>
                <w:sz w:val="18"/>
                <w:szCs w:val="18"/>
                <w:shd w:fill="FFFFFF" w:val="clear"/>
              </w:rPr>
              <w:t>SACO</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center"/>
              <w:rPr>
                <w:rFonts w:ascii="Arial" w:hAnsi="Arial"/>
                <w:sz w:val="18"/>
                <w:szCs w:val="18"/>
              </w:rPr>
            </w:pPr>
            <w:r>
              <w:rPr>
                <w:rFonts w:cs="Arial" w:ascii="Arial" w:hAnsi="Arial"/>
                <w:color w:val="000000"/>
                <w:sz w:val="18"/>
                <w:szCs w:val="18"/>
                <w:shd w:fill="FFFFFF" w:val="clear"/>
              </w:rPr>
              <w:t>1200</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uppressAutoHyphens w:val="true"/>
              <w:spacing w:lineRule="auto" w:line="276" w:before="0" w:after="120"/>
              <w:jc w:val="center"/>
              <w:rPr>
                <w:rFonts w:ascii="Arial" w:hAnsi="Arial"/>
                <w:sz w:val="18"/>
                <w:szCs w:val="18"/>
              </w:rPr>
            </w:pPr>
            <w:r>
              <w:rPr>
                <w:rFonts w:cs="Arial" w:ascii="Arial" w:hAnsi="Arial"/>
                <w:color w:val="000000"/>
                <w:sz w:val="18"/>
                <w:szCs w:val="18"/>
                <w:shd w:fill="FFFFFF" w:val="clear"/>
              </w:rPr>
              <w:t>R$ 209,34</w:t>
            </w:r>
          </w:p>
        </w:tc>
      </w:tr>
    </w:tbl>
    <w:p>
      <w:pPr>
        <w:pStyle w:val="Normal"/>
        <w:spacing w:lineRule="auto" w:line="276" w:before="0" w:after="120"/>
        <w:jc w:val="both"/>
        <w:rPr>
          <w:rFonts w:ascii="Arial" w:hAnsi="Arial" w:cs="Arial"/>
          <w:b/>
          <w:b/>
          <w:color w:val="000000"/>
          <w:sz w:val="22"/>
          <w:szCs w:val="22"/>
        </w:rPr>
      </w:pPr>
      <w:r>
        <w:rPr>
          <w:rFonts w:cs="Arial" w:ascii="Arial" w:hAnsi="Arial"/>
          <w:b/>
          <w:color w:val="000000"/>
          <w:sz w:val="22"/>
          <w:szCs w:val="22"/>
        </w:rPr>
      </w:r>
    </w:p>
    <w:p>
      <w:pPr>
        <w:pStyle w:val="ListParagraph"/>
        <w:numPr>
          <w:ilvl w:val="1"/>
          <w:numId w:val="1"/>
        </w:numPr>
        <w:spacing w:lineRule="auto" w:line="276" w:before="120" w:after="120"/>
        <w:contextualSpacing/>
        <w:jc w:val="both"/>
        <w:rPr>
          <w:rFonts w:cs="Arial"/>
          <w:bCs/>
          <w:iCs/>
          <w:color w:val="000000"/>
          <w:szCs w:val="20"/>
        </w:rPr>
      </w:pPr>
      <w:r>
        <w:rPr>
          <w:rFonts w:cs="Arial" w:ascii="Arial" w:hAnsi="Arial"/>
          <w:bCs/>
          <w:iCs/>
          <w:color w:val="000000"/>
          <w:sz w:val="22"/>
          <w:szCs w:val="22"/>
        </w:rPr>
        <w:t xml:space="preserve">O prazo de vigência da contratação é de 12 meses contados da assinatura da ata </w:t>
      </w:r>
      <w:r>
        <w:rPr>
          <w:rFonts w:cs="Arial" w:ascii="Arial" w:hAnsi="Arial"/>
          <w:bCs/>
          <w:iCs/>
          <w:color w:val="FF0000"/>
          <w:sz w:val="22"/>
          <w:szCs w:val="22"/>
        </w:rPr>
        <w:t xml:space="preserve"> </w:t>
      </w:r>
      <w:r>
        <w:rPr>
          <w:rFonts w:cs="Arial" w:ascii="Arial" w:hAnsi="Arial"/>
          <w:bCs/>
          <w:iCs/>
          <w:color w:val="000000"/>
          <w:sz w:val="22"/>
          <w:szCs w:val="22"/>
        </w:rPr>
        <w:t>prorrogável na forma do art. 57, § 1°, da Lei n° 8.666/93.</w:t>
      </w:r>
    </w:p>
    <w:p>
      <w:pPr>
        <w:pStyle w:val="Nivel1"/>
        <w:keepNext/>
        <w:keepLines/>
        <w:widowControl/>
        <w:numPr>
          <w:ilvl w:val="0"/>
          <w:numId w:val="1"/>
        </w:numPr>
        <w:suppressAutoHyphens w:val="true"/>
        <w:overflowPunct w:val="true"/>
        <w:bidi w:val="0"/>
        <w:spacing w:lineRule="auto" w:line="276" w:before="480" w:after="120"/>
        <w:ind w:left="0" w:right="0" w:hanging="0"/>
        <w:jc w:val="both"/>
        <w:rPr>
          <w:rFonts w:ascii="Arial" w:hAnsi="Arial"/>
          <w:sz w:val="22"/>
          <w:szCs w:val="22"/>
        </w:rPr>
      </w:pPr>
      <w:r>
        <w:rPr>
          <w:rFonts w:ascii="Arial" w:hAnsi="Arial"/>
          <w:sz w:val="22"/>
          <w:szCs w:val="22"/>
        </w:rPr>
        <w:t>JUSTIFICATIVA E OBJETIVO DA CONTRATAÇÃO</w:t>
      </w:r>
    </w:p>
    <w:p>
      <w:pPr>
        <w:pStyle w:val="Normal"/>
        <w:numPr>
          <w:ilvl w:val="1"/>
          <w:numId w:val="1"/>
        </w:numPr>
        <w:spacing w:lineRule="auto" w:line="276" w:before="120" w:after="120"/>
        <w:jc w:val="both"/>
        <w:rPr>
          <w:rFonts w:cs="Arial"/>
          <w:color w:val="00000A"/>
          <w:szCs w:val="20"/>
        </w:rPr>
      </w:pPr>
      <w:r>
        <w:rPr>
          <w:rFonts w:cs="Arial" w:ascii="Arial" w:hAnsi="Arial"/>
          <w:color w:val="00000A"/>
          <w:sz w:val="22"/>
          <w:szCs w:val="22"/>
        </w:rPr>
        <w:t xml:space="preserve">Os materiais requisitados são destinados a atender demanda do Biotério Central, que desenvolve as seguintes atividades: criação, manutenção, fornecimento e experimentação dos animais de laboratório. </w:t>
      </w:r>
    </w:p>
    <w:p>
      <w:pPr>
        <w:pStyle w:val="Normal"/>
        <w:numPr>
          <w:ilvl w:val="1"/>
          <w:numId w:val="1"/>
        </w:numPr>
        <w:spacing w:lineRule="auto" w:line="276" w:before="120" w:after="120"/>
        <w:jc w:val="both"/>
        <w:rPr>
          <w:rFonts w:cs="Arial"/>
          <w:color w:val="00000A"/>
          <w:szCs w:val="20"/>
        </w:rPr>
      </w:pPr>
      <w:r>
        <w:rPr>
          <w:rFonts w:cs="Arial" w:ascii="Arial" w:hAnsi="Arial"/>
          <w:color w:val="00000A"/>
          <w:sz w:val="22"/>
          <w:szCs w:val="22"/>
        </w:rPr>
        <w:t xml:space="preserve">Os materiais são necessários devidos às necessidades fisiológicas dos animais mantidos nessas Unidades, e a não aquisição implicará no comprometimento do bem-estar dos animais, destas Unidades, favorecendo a transtornos fisiológicos, sanitário, levando os animais a sofrimento e consequentemente óbito. </w:t>
      </w:r>
    </w:p>
    <w:p>
      <w:pPr>
        <w:pStyle w:val="Normal"/>
        <w:numPr>
          <w:ilvl w:val="1"/>
          <w:numId w:val="1"/>
        </w:numPr>
        <w:spacing w:lineRule="auto" w:line="276" w:before="120" w:after="120"/>
        <w:jc w:val="both"/>
        <w:rPr>
          <w:rFonts w:cs="Arial"/>
          <w:color w:val="00000A"/>
          <w:szCs w:val="20"/>
        </w:rPr>
      </w:pPr>
      <w:r>
        <w:rPr>
          <w:rFonts w:cs="Arial" w:ascii="Arial" w:hAnsi="Arial"/>
          <w:color w:val="00000A"/>
          <w:sz w:val="22"/>
          <w:szCs w:val="22"/>
        </w:rPr>
        <w:t xml:space="preserve">As especificações técnicas e quantitativos dos materiais/ serviços a serem adquiridos, estão de acordo com o previsto no artigo 15, §7 da Lei 8.666/1993, demonstrados explicitamente no Anexo A do termo de referência. </w:t>
      </w:r>
    </w:p>
    <w:p>
      <w:pPr>
        <w:pStyle w:val="Normal"/>
        <w:numPr>
          <w:ilvl w:val="1"/>
          <w:numId w:val="1"/>
        </w:numPr>
        <w:spacing w:lineRule="auto" w:line="276" w:before="120" w:after="120"/>
        <w:jc w:val="both"/>
        <w:rPr>
          <w:rFonts w:ascii="Arial" w:hAnsi="Arial"/>
          <w:sz w:val="22"/>
          <w:szCs w:val="22"/>
        </w:rPr>
      </w:pPr>
      <w:r>
        <w:rPr>
          <w:rFonts w:cs="Arial" w:ascii="Arial" w:hAnsi="Arial"/>
          <w:color w:val="00000A"/>
          <w:sz w:val="22"/>
          <w:szCs w:val="22"/>
        </w:rPr>
        <w:t>Em atenção ao artigo 3º do Decreto 7.892/2013, informamos que os quantitativos dos materiais requisitados levam em consideração o atendimento das necessidades da Administração, dentro do período de 12 (doze) meses – período máximo da vigência da Ata de Registro de Preços não permite aditivos.</w:t>
      </w:r>
    </w:p>
    <w:p>
      <w:pPr>
        <w:pStyle w:val="Normal"/>
        <w:numPr>
          <w:ilvl w:val="1"/>
          <w:numId w:val="1"/>
        </w:numPr>
        <w:spacing w:lineRule="auto" w:line="276" w:before="120" w:after="120"/>
        <w:jc w:val="both"/>
        <w:rPr>
          <w:color w:val="00000A"/>
        </w:rPr>
      </w:pPr>
      <w:r>
        <w:rPr>
          <w:rFonts w:cs="Arial" w:ascii="Arial" w:hAnsi="Arial"/>
          <w:color w:val="00000A"/>
          <w:sz w:val="22"/>
          <w:szCs w:val="22"/>
        </w:rPr>
        <w:t>A estimativa dos materiais a serem adquiridos e sua provável utilização foi baseada em função da média dos anos anteriores extraídas do relatório de consumo do almoxarifado do Biotério Central.</w:t>
      </w:r>
    </w:p>
    <w:p>
      <w:pPr>
        <w:pStyle w:val="Normal"/>
        <w:numPr>
          <w:ilvl w:val="1"/>
          <w:numId w:val="1"/>
        </w:numPr>
        <w:spacing w:lineRule="auto" w:line="276" w:before="120" w:after="120"/>
        <w:jc w:val="both"/>
        <w:rPr>
          <w:rFonts w:cs="Arial"/>
          <w:color w:val="00000A"/>
          <w:szCs w:val="20"/>
        </w:rPr>
      </w:pPr>
      <w:r>
        <w:rPr>
          <w:rFonts w:cs="Arial" w:ascii="Arial" w:hAnsi="Arial"/>
          <w:color w:val="00000A"/>
          <w:sz w:val="22"/>
          <w:szCs w:val="22"/>
        </w:rPr>
        <w:t xml:space="preserve">O quantitativo dos materiais requisitados levam em consideração o atendimento das necessidades da Administração, dentro do período de 12 meses – período máximo da vigência da Ata de registro de preços – inclusive o atendimento de situações imprevisíveis, tendo em vista que a Ata de registro de preços não permite qualquer a aditivo. </w:t>
      </w:r>
    </w:p>
    <w:p>
      <w:pPr>
        <w:pStyle w:val="Normal"/>
        <w:widowControl/>
        <w:suppressAutoHyphens w:val="true"/>
        <w:overflowPunct w:val="true"/>
        <w:bidi w:val="0"/>
        <w:spacing w:lineRule="auto" w:line="276" w:before="120" w:after="120"/>
        <w:ind w:left="283" w:right="0" w:hanging="0"/>
        <w:jc w:val="both"/>
        <w:rPr>
          <w:rFonts w:cs="Arial"/>
          <w:color w:val="00000A"/>
          <w:szCs w:val="20"/>
        </w:rPr>
      </w:pPr>
      <w:r>
        <w:rPr>
          <w:rFonts w:cs="Arial" w:ascii="Arial" w:hAnsi="Arial"/>
          <w:b/>
          <w:bCs/>
          <w:color w:val="00000A"/>
          <w:sz w:val="22"/>
          <w:szCs w:val="22"/>
        </w:rPr>
        <w:t>2.8.</w:t>
      </w:r>
      <w:r>
        <w:rPr>
          <w:rFonts w:cs="Arial" w:ascii="Arial" w:hAnsi="Arial"/>
          <w:color w:val="00000A"/>
          <w:sz w:val="22"/>
          <w:szCs w:val="22"/>
        </w:rPr>
        <w:t xml:space="preserve"> A estimativa dos materiais a serem adquiridos a sua provável utilização foi baseada em função da média dos anos anteriores. </w:t>
      </w:r>
    </w:p>
    <w:p>
      <w:pPr>
        <w:pStyle w:val="Nivel1"/>
        <w:numPr>
          <w:ilvl w:val="0"/>
          <w:numId w:val="1"/>
        </w:numPr>
        <w:rPr>
          <w:rFonts w:ascii="Arial" w:hAnsi="Arial"/>
          <w:sz w:val="22"/>
          <w:szCs w:val="22"/>
        </w:rPr>
      </w:pPr>
      <w:r>
        <w:rPr>
          <w:rFonts w:ascii="Arial" w:hAnsi="Arial"/>
          <w:sz w:val="22"/>
          <w:szCs w:val="22"/>
        </w:rPr>
        <w:t>CLASSIFICAÇÃO DOS BENS COMUNS</w:t>
      </w:r>
    </w:p>
    <w:p>
      <w:pPr>
        <w:pStyle w:val="Normal"/>
        <w:numPr>
          <w:ilvl w:val="1"/>
          <w:numId w:val="1"/>
        </w:numPr>
        <w:spacing w:lineRule="auto" w:line="276" w:before="120" w:after="120"/>
        <w:ind w:left="716" w:right="0" w:hanging="432"/>
        <w:jc w:val="both"/>
        <w:rPr>
          <w:rFonts w:ascii="Arial" w:hAnsi="Arial"/>
          <w:sz w:val="22"/>
          <w:szCs w:val="22"/>
        </w:rPr>
      </w:pPr>
      <w:r>
        <w:rPr>
          <w:rFonts w:cs="Arial" w:ascii="Arial" w:hAnsi="Arial"/>
          <w:b w:val="false"/>
          <w:bCs w:val="false"/>
          <w:color w:val="000000"/>
          <w:sz w:val="22"/>
          <w:szCs w:val="22"/>
        </w:rPr>
        <w:t xml:space="preserve">Os bens a serem adquiridos enquadram-se na classificação de bens comuns, nos termos da Lei nº 10.520/ 2002. </w:t>
      </w:r>
    </w:p>
    <w:p>
      <w:pPr>
        <w:pStyle w:val="Nivel1"/>
        <w:numPr>
          <w:ilvl w:val="0"/>
          <w:numId w:val="1"/>
        </w:numPr>
        <w:rPr>
          <w:rFonts w:ascii="Arial" w:hAnsi="Arial"/>
          <w:sz w:val="22"/>
          <w:szCs w:val="22"/>
        </w:rPr>
      </w:pPr>
      <w:r>
        <w:rPr>
          <w:rFonts w:ascii="Arial" w:hAnsi="Arial"/>
          <w:sz w:val="22"/>
          <w:szCs w:val="22"/>
        </w:rPr>
        <w:t>ENTREGA E CRITÉRIOS DE ACEITAÇÃO DO OBJETO.</w:t>
      </w:r>
    </w:p>
    <w:p>
      <w:pPr>
        <w:pStyle w:val="Normal"/>
        <w:numPr>
          <w:ilvl w:val="1"/>
          <w:numId w:val="1"/>
        </w:numPr>
        <w:spacing w:lineRule="auto" w:line="276" w:before="120" w:after="120"/>
        <w:jc w:val="both"/>
        <w:rPr>
          <w:rFonts w:cs="Arial"/>
          <w:iCs/>
          <w:color w:val="000000"/>
          <w:szCs w:val="20"/>
        </w:rPr>
      </w:pPr>
      <w:r>
        <w:rPr>
          <w:rFonts w:cs="Arial" w:ascii="Arial" w:hAnsi="Arial"/>
          <w:iCs/>
          <w:color w:val="000000"/>
          <w:sz w:val="22"/>
          <w:szCs w:val="22"/>
        </w:rPr>
        <w:t xml:space="preserve">O prazo de entrega dos bens é de 30 dias, contados do recebimento de nota de empenho em remessa parcelada, de acordo com a demanda do Biotério Central no endereço: Biotério Central da Universidade Federal de Alagoas – Campus A.C. Simões, na Avenida Lourival de Melo Mota, S/N, Tabuleiro dos Martins – Maceió/AL, CEP: 57072-970, Telefone: (82) 3214-1112, de segunda a sexta feira no horário das 08:00 às 12:00 e das 14:00 às 16:00 horas.  </w:t>
      </w:r>
    </w:p>
    <w:p>
      <w:pPr>
        <w:pStyle w:val="Normal"/>
        <w:numPr>
          <w:ilvl w:val="1"/>
          <w:numId w:val="1"/>
        </w:numPr>
        <w:spacing w:lineRule="auto" w:line="276" w:before="120" w:after="120"/>
        <w:ind w:left="716" w:right="0" w:hanging="432"/>
        <w:jc w:val="both"/>
        <w:rPr>
          <w:rFonts w:ascii="Arial" w:hAnsi="Arial"/>
          <w:sz w:val="22"/>
          <w:szCs w:val="22"/>
        </w:rPr>
      </w:pPr>
      <w:r>
        <w:rPr>
          <w:rFonts w:cs="Arial" w:ascii="Arial" w:hAnsi="Arial"/>
          <w:bCs/>
          <w:color w:val="000000"/>
          <w:sz w:val="22"/>
          <w:szCs w:val="22"/>
        </w:rPr>
        <w:t xml:space="preserve">O prazo de validade dos materiais na data da entrega não poderá ser inferior a 165 dias, ou a 5/6 (cinco sextos) do prazo total recomendado pelo fabricante, contados da data do recebimento definitivo do material. </w:t>
      </w:r>
    </w:p>
    <w:p>
      <w:pPr>
        <w:pStyle w:val="Normal"/>
        <w:widowControl/>
        <w:numPr>
          <w:ilvl w:val="1"/>
          <w:numId w:val="1"/>
        </w:numPr>
        <w:bidi w:val="0"/>
        <w:spacing w:lineRule="auto" w:line="276" w:before="120" w:after="120"/>
        <w:ind w:left="716" w:right="0" w:hanging="432"/>
        <w:jc w:val="both"/>
        <w:rPr>
          <w:rFonts w:cs="Arial"/>
          <w:bCs/>
          <w:color w:val="6666FF"/>
          <w:szCs w:val="20"/>
        </w:rPr>
      </w:pPr>
      <w:r>
        <w:rPr>
          <w:rFonts w:cs="Arial" w:ascii="Arial" w:hAnsi="Arial"/>
          <w:bCs/>
          <w:color w:val="000000"/>
          <w:sz w:val="22"/>
          <w:szCs w:val="22"/>
        </w:rPr>
        <w:t xml:space="preserve">Os materiais deverão ser acondicionados em embalagens individuais, impermeáveis, intactas e autoclaváveis de acordo com as especificações descritas no </w:t>
      </w:r>
      <w:r>
        <w:rPr>
          <w:rFonts w:cs="Arial" w:ascii="Arial" w:hAnsi="Arial"/>
          <w:bCs/>
          <w:color w:val="000000"/>
          <w:sz w:val="22"/>
          <w:szCs w:val="22"/>
          <w:shd w:fill="FFFFFF" w:val="clear"/>
        </w:rPr>
        <w:t xml:space="preserve">Anexo A </w:t>
      </w:r>
      <w:r>
        <w:rPr>
          <w:rFonts w:cs="Arial" w:ascii="Arial" w:hAnsi="Arial"/>
          <w:bCs/>
          <w:color w:val="000000"/>
          <w:sz w:val="22"/>
          <w:szCs w:val="22"/>
        </w:rPr>
        <w:t xml:space="preserve">do Termo de Referência. </w:t>
      </w:r>
    </w:p>
    <w:p>
      <w:pPr>
        <w:pStyle w:val="Normal"/>
        <w:widowControl/>
        <w:numPr>
          <w:ilvl w:val="1"/>
          <w:numId w:val="1"/>
        </w:numPr>
        <w:bidi w:val="0"/>
        <w:spacing w:lineRule="auto" w:line="276" w:before="120" w:after="120"/>
        <w:ind w:left="716" w:right="0" w:hanging="432"/>
        <w:jc w:val="both"/>
        <w:rPr>
          <w:rFonts w:cs="Arial"/>
          <w:bCs/>
          <w:color w:val="6666FF"/>
          <w:szCs w:val="20"/>
        </w:rPr>
      </w:pPr>
      <w:r>
        <w:rPr>
          <w:rFonts w:cs="Arial" w:ascii="Arial" w:hAnsi="Arial"/>
          <w:bCs/>
          <w:color w:val="000000"/>
          <w:sz w:val="22"/>
          <w:szCs w:val="22"/>
        </w:rPr>
        <w:t xml:space="preserve">Os materiais deverão ser transportados em caminhão tipo baú que impossibilite a ação do sol e da chuva. </w:t>
      </w:r>
    </w:p>
    <w:p>
      <w:pPr>
        <w:pStyle w:val="Normal"/>
        <w:widowControl/>
        <w:suppressAutoHyphens w:val="true"/>
        <w:overflowPunct w:val="true"/>
        <w:bidi w:val="0"/>
        <w:spacing w:lineRule="auto" w:line="276" w:before="120" w:after="120"/>
        <w:ind w:left="907" w:right="0" w:hanging="0"/>
        <w:jc w:val="both"/>
        <w:rPr>
          <w:rFonts w:cs="Arial"/>
          <w:bCs/>
          <w:color w:val="6666FF"/>
          <w:szCs w:val="20"/>
        </w:rPr>
      </w:pPr>
      <w:r>
        <w:rPr>
          <w:rFonts w:cs="Arial" w:ascii="Arial" w:hAnsi="Arial"/>
          <w:b/>
          <w:bCs/>
          <w:color w:val="000000"/>
          <w:sz w:val="22"/>
          <w:szCs w:val="22"/>
        </w:rPr>
        <w:t>4.4.1</w:t>
      </w:r>
      <w:r>
        <w:rPr>
          <w:rFonts w:cs="Arial" w:ascii="Arial" w:hAnsi="Arial"/>
          <w:bCs/>
          <w:color w:val="000000"/>
          <w:sz w:val="22"/>
          <w:szCs w:val="22"/>
        </w:rPr>
        <w:t>. A carga deve ser transportada em paletes e separadas de outros materiais que possam, contaminá-la ou facilitar sua deterioração;</w:t>
      </w:r>
    </w:p>
    <w:p>
      <w:pPr>
        <w:pStyle w:val="Normal"/>
        <w:widowControl/>
        <w:suppressAutoHyphens w:val="true"/>
        <w:overflowPunct w:val="true"/>
        <w:bidi w:val="0"/>
        <w:spacing w:lineRule="auto" w:line="276" w:before="120" w:after="120"/>
        <w:ind w:left="907" w:right="0" w:hanging="0"/>
        <w:jc w:val="both"/>
        <w:rPr>
          <w:color w:val="000000"/>
        </w:rPr>
      </w:pPr>
      <w:r>
        <w:rPr>
          <w:rFonts w:cs="Arial" w:ascii="Arial" w:hAnsi="Arial"/>
          <w:b/>
          <w:bCs/>
          <w:color w:val="000000"/>
          <w:sz w:val="22"/>
          <w:szCs w:val="22"/>
        </w:rPr>
        <w:t>4.4.2.</w:t>
      </w:r>
      <w:r>
        <w:rPr>
          <w:rFonts w:cs="Arial" w:ascii="Arial" w:hAnsi="Arial"/>
          <w:bCs/>
          <w:color w:val="000000"/>
          <w:sz w:val="22"/>
          <w:szCs w:val="22"/>
        </w:rPr>
        <w:t xml:space="preserve"> Os entregadores deverão possuir identificação;</w:t>
      </w:r>
    </w:p>
    <w:p>
      <w:pPr>
        <w:pStyle w:val="Normal"/>
        <w:widowControl/>
        <w:bidi w:val="0"/>
        <w:spacing w:lineRule="auto" w:line="276" w:before="120" w:after="120"/>
        <w:ind w:left="716" w:right="0" w:hanging="432"/>
        <w:jc w:val="both"/>
        <w:rPr>
          <w:rFonts w:ascii="Arial" w:hAnsi="Arial"/>
          <w:sz w:val="22"/>
          <w:szCs w:val="22"/>
        </w:rPr>
      </w:pPr>
      <w:r>
        <w:rPr>
          <w:rFonts w:cs="Arial" w:ascii="Arial" w:hAnsi="Arial"/>
          <w:b/>
          <w:bCs/>
          <w:color w:val="000000"/>
          <w:sz w:val="22"/>
          <w:szCs w:val="22"/>
        </w:rPr>
        <w:t>4.5.</w:t>
        <w:tab/>
      </w:r>
      <w:r>
        <w:rPr>
          <w:rFonts w:cs="Arial" w:ascii="Arial" w:hAnsi="Arial"/>
          <w:b w:val="false"/>
          <w:bCs/>
          <w:i w:val="false"/>
          <w:caps w:val="false"/>
          <w:smallCaps w:val="false"/>
          <w:color w:val="000000"/>
          <w:spacing w:val="0"/>
          <w:sz w:val="22"/>
          <w:szCs w:val="22"/>
        </w:rPr>
        <w:t>O produto deve possuir certificado de Irradiação, emitido pela empresa que industrializa/irradia, identificando o nome, o lote do produto e a dose da irradiação. Laudo bromatológico da ração irradiada detalhando o nome do produto e lote. Ambos os laudos devem ser enviados junto a cada remessa solicitada.</w:t>
      </w:r>
    </w:p>
    <w:p>
      <w:pPr>
        <w:pStyle w:val="Normal"/>
        <w:widowControl/>
        <w:numPr>
          <w:ilvl w:val="0"/>
          <w:numId w:val="0"/>
        </w:numPr>
        <w:tabs>
          <w:tab w:val="left" w:pos="120" w:leader="none"/>
          <w:tab w:val="left" w:pos="345" w:leader="none"/>
        </w:tabs>
        <w:suppressAutoHyphens w:val="true"/>
        <w:overflowPunct w:val="true"/>
        <w:bidi w:val="0"/>
        <w:spacing w:lineRule="auto" w:line="276" w:before="120" w:after="120"/>
        <w:ind w:left="283" w:right="0" w:hanging="0"/>
        <w:jc w:val="both"/>
        <w:rPr>
          <w:rFonts w:ascii="Arial" w:hAnsi="Arial"/>
          <w:sz w:val="22"/>
          <w:szCs w:val="22"/>
        </w:rPr>
      </w:pPr>
      <w:r>
        <w:rPr>
          <w:rFonts w:cs="Arial" w:ascii="Arial" w:hAnsi="Arial"/>
          <w:b/>
          <w:bCs/>
          <w:color w:val="000000"/>
          <w:sz w:val="22"/>
          <w:szCs w:val="22"/>
        </w:rPr>
        <w:t>4.6.</w:t>
      </w:r>
      <w:r>
        <w:rPr>
          <w:rFonts w:cs="Arial" w:ascii="Arial" w:hAnsi="Arial"/>
          <w:color w:val="000000"/>
          <w:sz w:val="22"/>
          <w:szCs w:val="22"/>
        </w:rPr>
        <w:t xml:space="preserve"> Os bens serão recebidos provisoriamente no prazo de 15 (quinze) dias, pelo(a) </w:t>
      </w:r>
      <w:r>
        <w:rPr>
          <w:rFonts w:cs="Arial" w:ascii="Arial" w:hAnsi="Arial"/>
          <w:iCs/>
          <w:color w:val="000000"/>
          <w:sz w:val="22"/>
          <w:szCs w:val="22"/>
        </w:rPr>
        <w:t>responsável</w:t>
      </w:r>
      <w:r>
        <w:rPr>
          <w:rFonts w:cs="Arial" w:ascii="Arial" w:hAnsi="Arial"/>
          <w:color w:val="000000"/>
          <w:sz w:val="22"/>
          <w:szCs w:val="22"/>
        </w:rPr>
        <w:t xml:space="preserve"> pelo acompanhamento e fiscalização do contrato, para efeito de posterior verificação de sua conformidade com as especificações constantes neste Termo de Referência e na proposta. </w:t>
      </w:r>
    </w:p>
    <w:p>
      <w:pPr>
        <w:pStyle w:val="Normal"/>
        <w:widowControl/>
        <w:numPr>
          <w:ilvl w:val="0"/>
          <w:numId w:val="0"/>
        </w:numPr>
        <w:suppressAutoHyphens w:val="true"/>
        <w:overflowPunct w:val="true"/>
        <w:bidi w:val="0"/>
        <w:spacing w:lineRule="auto" w:line="276" w:before="120" w:after="120"/>
        <w:ind w:left="283" w:right="0" w:hanging="0"/>
        <w:jc w:val="both"/>
        <w:rPr>
          <w:rFonts w:cs="Arial"/>
          <w:bCs/>
          <w:color w:val="000000"/>
          <w:szCs w:val="20"/>
        </w:rPr>
      </w:pPr>
      <w:r>
        <w:rPr>
          <w:rFonts w:cs="Arial" w:ascii="Arial" w:hAnsi="Arial"/>
          <w:b/>
          <w:bCs/>
          <w:color w:val="000000"/>
          <w:sz w:val="22"/>
          <w:szCs w:val="22"/>
        </w:rPr>
        <w:t>4.7.</w:t>
      </w:r>
      <w:r>
        <w:rPr>
          <w:rFonts w:cs="Arial" w:ascii="Arial" w:hAnsi="Arial"/>
          <w:bCs/>
          <w:color w:val="000000"/>
          <w:sz w:val="22"/>
          <w:szCs w:val="22"/>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widowControl/>
        <w:numPr>
          <w:ilvl w:val="0"/>
          <w:numId w:val="0"/>
        </w:numPr>
        <w:suppressAutoHyphens w:val="true"/>
        <w:overflowPunct w:val="true"/>
        <w:bidi w:val="0"/>
        <w:spacing w:lineRule="auto" w:line="276" w:before="120" w:after="120"/>
        <w:ind w:left="283" w:right="0" w:hanging="0"/>
        <w:jc w:val="both"/>
        <w:rPr>
          <w:rFonts w:cs="Arial"/>
          <w:color w:val="000000"/>
          <w:szCs w:val="20"/>
        </w:rPr>
      </w:pPr>
      <w:r>
        <w:rPr>
          <w:rFonts w:cs="Arial" w:ascii="Arial" w:hAnsi="Arial"/>
          <w:b/>
          <w:bCs/>
          <w:color w:val="000000"/>
          <w:sz w:val="22"/>
          <w:szCs w:val="22"/>
        </w:rPr>
        <w:t>4.8.</w:t>
      </w:r>
      <w:r>
        <w:rPr>
          <w:rFonts w:cs="Arial" w:ascii="Arial" w:hAnsi="Arial"/>
          <w:color w:val="000000"/>
          <w:sz w:val="22"/>
          <w:szCs w:val="22"/>
        </w:rPr>
        <w:t xml:space="preserve"> Os bens serão recebidos definitivamente no prazo de 15 (quinze) dias, contados do recebimento provisório, após a verificação da qualidade e quantidade do material e consequente aceitação mediante termo circunstanciado.</w:t>
      </w:r>
    </w:p>
    <w:p>
      <w:pPr>
        <w:pStyle w:val="Normal"/>
        <w:widowControl/>
        <w:numPr>
          <w:ilvl w:val="0"/>
          <w:numId w:val="0"/>
        </w:numPr>
        <w:suppressAutoHyphens w:val="true"/>
        <w:overflowPunct w:val="true"/>
        <w:bidi w:val="0"/>
        <w:spacing w:lineRule="auto" w:line="276" w:before="120" w:after="120"/>
        <w:ind w:left="907" w:right="0" w:hanging="510"/>
        <w:jc w:val="both"/>
        <w:rPr>
          <w:rFonts w:cs="Arial"/>
          <w:color w:val="000000"/>
          <w:szCs w:val="20"/>
          <w:lang w:eastAsia="en-US"/>
        </w:rPr>
      </w:pPr>
      <w:r>
        <w:rPr>
          <w:rFonts w:cs="Arial" w:ascii="Arial" w:hAnsi="Arial"/>
          <w:b/>
          <w:bCs/>
          <w:color w:val="000000"/>
          <w:sz w:val="22"/>
          <w:szCs w:val="22"/>
          <w:lang w:eastAsia="en-US"/>
        </w:rPr>
        <w:t>4.8.1.</w:t>
      </w:r>
      <w:r>
        <w:rPr>
          <w:rFonts w:cs="Arial" w:ascii="Arial" w:hAnsi="Arial"/>
          <w:color w:val="000000"/>
          <w:sz w:val="22"/>
          <w:szCs w:val="22"/>
          <w:lang w:eastAsia="en-US"/>
        </w:rPr>
        <w:t xml:space="preserve"> Na hipótese de a verificação a que se refere o subitem anterior não ser procedida dentro do prazo fixado, reputar-se-á como realizada, consumando-se o recebimento definitivo no dia do esgotamento do prazo.</w:t>
      </w:r>
    </w:p>
    <w:p>
      <w:pPr>
        <w:pStyle w:val="Normal"/>
        <w:widowControl/>
        <w:numPr>
          <w:ilvl w:val="0"/>
          <w:numId w:val="0"/>
        </w:numPr>
        <w:suppressAutoHyphens w:val="true"/>
        <w:overflowPunct w:val="true"/>
        <w:bidi w:val="0"/>
        <w:spacing w:lineRule="auto" w:line="276" w:before="120" w:after="120"/>
        <w:ind w:left="283" w:right="0" w:hanging="0"/>
        <w:jc w:val="both"/>
        <w:rPr>
          <w:rFonts w:cs="Arial"/>
          <w:color w:val="000000"/>
          <w:szCs w:val="20"/>
          <w:lang w:eastAsia="en-US"/>
        </w:rPr>
      </w:pPr>
      <w:r>
        <w:rPr>
          <w:rFonts w:cs="Arial" w:ascii="Arial" w:hAnsi="Arial"/>
          <w:b/>
          <w:bCs/>
          <w:color w:val="000000"/>
          <w:sz w:val="22"/>
          <w:szCs w:val="22"/>
          <w:lang w:eastAsia="en-US"/>
        </w:rPr>
        <w:t>4.9.</w:t>
      </w:r>
      <w:r>
        <w:rPr>
          <w:rFonts w:cs="Arial" w:ascii="Arial" w:hAnsi="Arial"/>
          <w:color w:val="000000"/>
          <w:sz w:val="22"/>
          <w:szCs w:val="22"/>
          <w:lang w:eastAsia="en-US"/>
        </w:rPr>
        <w:t xml:space="preserve"> O recebimento provisório ou definitivo do objeto não exclui a responsabilidade da contratada pelos prejuízos resultantes da incorreta execução do contrato.</w:t>
      </w:r>
    </w:p>
    <w:p>
      <w:pPr>
        <w:pStyle w:val="Nivel1"/>
        <w:numPr>
          <w:ilvl w:val="0"/>
          <w:numId w:val="1"/>
        </w:numPr>
        <w:rPr>
          <w:lang w:eastAsia="en-US"/>
        </w:rPr>
      </w:pPr>
      <w:r>
        <w:rPr>
          <w:rFonts w:ascii="Arial" w:hAnsi="Arial"/>
          <w:sz w:val="22"/>
          <w:szCs w:val="22"/>
          <w:lang w:eastAsia="en-US"/>
        </w:rPr>
        <w:t>OBRIGAÇÕES DA CONTRATANTE</w:t>
      </w:r>
    </w:p>
    <w:p>
      <w:pPr>
        <w:pStyle w:val="Normal"/>
        <w:numPr>
          <w:ilvl w:val="1"/>
          <w:numId w:val="1"/>
        </w:numPr>
        <w:spacing w:lineRule="auto" w:line="276" w:before="120" w:after="120"/>
        <w:ind w:left="716" w:right="0" w:hanging="432"/>
        <w:jc w:val="both"/>
        <w:rPr>
          <w:rFonts w:cs="Arial"/>
          <w:szCs w:val="20"/>
        </w:rPr>
      </w:pPr>
      <w:r>
        <w:rPr>
          <w:rFonts w:cs="Arial" w:ascii="Arial" w:hAnsi="Arial"/>
          <w:sz w:val="22"/>
          <w:szCs w:val="22"/>
        </w:rPr>
        <w:t>São obrigações da Contratante:</w:t>
      </w:r>
    </w:p>
    <w:p>
      <w:pPr>
        <w:pStyle w:val="Normal"/>
        <w:widowControl/>
        <w:numPr>
          <w:ilvl w:val="2"/>
          <w:numId w:val="1"/>
        </w:numPr>
        <w:suppressAutoHyphens w:val="true"/>
        <w:overflowPunct w:val="true"/>
        <w:bidi w:val="0"/>
        <w:spacing w:lineRule="auto" w:line="276" w:before="120" w:after="120"/>
        <w:ind w:left="964" w:right="0" w:hanging="57"/>
        <w:jc w:val="both"/>
        <w:rPr>
          <w:rFonts w:cs="Arial"/>
          <w:szCs w:val="20"/>
        </w:rPr>
      </w:pPr>
      <w:r>
        <w:rPr>
          <w:rFonts w:cs="Arial" w:ascii="Arial" w:hAnsi="Arial"/>
          <w:sz w:val="22"/>
          <w:szCs w:val="22"/>
        </w:rPr>
        <w:t>receber o objeto no prazo e condições estabelecidas no Edital e seus anexos;</w:t>
      </w:r>
    </w:p>
    <w:p>
      <w:pPr>
        <w:pStyle w:val="Normal"/>
        <w:widowControl/>
        <w:numPr>
          <w:ilvl w:val="2"/>
          <w:numId w:val="1"/>
        </w:numPr>
        <w:suppressAutoHyphens w:val="true"/>
        <w:overflowPunct w:val="true"/>
        <w:bidi w:val="0"/>
        <w:spacing w:lineRule="auto" w:line="276" w:before="120" w:after="120"/>
        <w:ind w:left="907" w:right="0" w:hanging="57"/>
        <w:jc w:val="both"/>
        <w:rPr>
          <w:rFonts w:cs="Arial"/>
          <w:szCs w:val="20"/>
          <w:lang w:eastAsia="en-US"/>
        </w:rPr>
      </w:pPr>
      <w:r>
        <w:rPr>
          <w:rFonts w:cs="Arial" w:ascii="Arial" w:hAnsi="Arial"/>
          <w:sz w:val="22"/>
          <w:szCs w:val="22"/>
          <w:lang w:eastAsia="en-US"/>
        </w:rPr>
        <w:t>verificar minuciosamente, no prazo fixado, a conformidade dos bens recebidos provisoriamente com as especificações constantes do Edital e da proposta, para fins de aceitação e recebimento definitivo;</w:t>
      </w:r>
    </w:p>
    <w:p>
      <w:pPr>
        <w:pStyle w:val="Normal"/>
        <w:widowControl/>
        <w:numPr>
          <w:ilvl w:val="2"/>
          <w:numId w:val="1"/>
        </w:numPr>
        <w:suppressAutoHyphens w:val="true"/>
        <w:overflowPunct w:val="true"/>
        <w:bidi w:val="0"/>
        <w:spacing w:lineRule="auto" w:line="276" w:before="120" w:after="120"/>
        <w:ind w:left="850" w:right="0" w:hanging="57"/>
        <w:jc w:val="both"/>
        <w:rPr>
          <w:rFonts w:cs="Arial"/>
          <w:szCs w:val="20"/>
        </w:rPr>
      </w:pPr>
      <w:r>
        <w:rPr>
          <w:rFonts w:cs="Arial" w:ascii="Arial" w:hAnsi="Arial"/>
          <w:sz w:val="22"/>
          <w:szCs w:val="22"/>
        </w:rPr>
        <w:t>comunicar à Contratada, por escrito, sobre imperfeições, falhas ou irregularidades verificadas no objeto fornecido, para que seja substituído, reparado ou corrigido;</w:t>
      </w:r>
    </w:p>
    <w:p>
      <w:pPr>
        <w:pStyle w:val="Normal"/>
        <w:widowControl/>
        <w:numPr>
          <w:ilvl w:val="2"/>
          <w:numId w:val="1"/>
        </w:numPr>
        <w:suppressAutoHyphens w:val="true"/>
        <w:overflowPunct w:val="true"/>
        <w:bidi w:val="0"/>
        <w:spacing w:lineRule="auto" w:line="276" w:before="120" w:after="120"/>
        <w:ind w:left="794" w:right="0" w:firstLine="57"/>
        <w:jc w:val="both"/>
        <w:rPr>
          <w:rFonts w:cs="Arial"/>
          <w:szCs w:val="20"/>
          <w:lang w:eastAsia="en-US"/>
        </w:rPr>
      </w:pPr>
      <w:r>
        <w:rPr>
          <w:rFonts w:cs="Arial" w:ascii="Arial" w:hAnsi="Arial"/>
          <w:sz w:val="22"/>
          <w:szCs w:val="22"/>
          <w:lang w:eastAsia="en-US"/>
        </w:rPr>
        <w:t>acompanhar e fiscalizar o cumprimento das obrigações da Contratada, através de comissão/servidor especialmente designado;</w:t>
      </w:r>
    </w:p>
    <w:p>
      <w:pPr>
        <w:pStyle w:val="Normal"/>
        <w:widowControl/>
        <w:numPr>
          <w:ilvl w:val="2"/>
          <w:numId w:val="1"/>
        </w:numPr>
        <w:suppressAutoHyphens w:val="true"/>
        <w:overflowPunct w:val="true"/>
        <w:bidi w:val="0"/>
        <w:spacing w:lineRule="auto" w:line="276" w:before="120" w:after="120"/>
        <w:ind w:left="850" w:right="0" w:hanging="57"/>
        <w:jc w:val="both"/>
        <w:rPr>
          <w:rFonts w:cs="Arial"/>
          <w:szCs w:val="20"/>
        </w:rPr>
      </w:pPr>
      <w:r>
        <w:rPr>
          <w:rFonts w:cs="Arial" w:ascii="Arial" w:hAnsi="Arial"/>
          <w:sz w:val="22"/>
          <w:szCs w:val="22"/>
        </w:rPr>
        <w:t>efetuar o pagamento à Contratada</w:t>
      </w:r>
      <w:r>
        <w:rPr>
          <w:rFonts w:cs="Arial" w:ascii="Arial" w:hAnsi="Arial"/>
          <w:b/>
          <w:sz w:val="22"/>
          <w:szCs w:val="22"/>
        </w:rPr>
        <w:t xml:space="preserve"> </w:t>
      </w:r>
      <w:r>
        <w:rPr>
          <w:rFonts w:cs="Arial" w:ascii="Arial" w:hAnsi="Arial"/>
          <w:sz w:val="22"/>
          <w:szCs w:val="22"/>
        </w:rPr>
        <w:t>no valor correspondente ao fornecimento do objeto, no prazo e forma estabelecidos no Edital e seus anexos;</w:t>
      </w:r>
    </w:p>
    <w:p>
      <w:pPr>
        <w:pStyle w:val="Normal"/>
        <w:numPr>
          <w:ilvl w:val="1"/>
          <w:numId w:val="1"/>
        </w:numPr>
        <w:spacing w:lineRule="auto" w:line="276" w:before="120" w:after="120"/>
        <w:ind w:left="716" w:right="0" w:hanging="432"/>
        <w:jc w:val="both"/>
        <w:rPr>
          <w:rFonts w:cs="Arial"/>
          <w:szCs w:val="20"/>
        </w:rPr>
      </w:pPr>
      <w:r>
        <w:rPr>
          <w:rFonts w:cs="Arial" w:ascii="Arial" w:hAnsi="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rFonts w:ascii="Arial" w:hAnsi="Arial"/>
          <w:sz w:val="22"/>
          <w:szCs w:val="22"/>
        </w:rPr>
      </w:pPr>
      <w:r>
        <w:rPr>
          <w:rFonts w:ascii="Arial" w:hAnsi="Arial"/>
          <w:sz w:val="22"/>
          <w:szCs w:val="22"/>
        </w:rPr>
        <w:t>OBRIGAÇÕES DA CONTRATADA</w:t>
      </w:r>
    </w:p>
    <w:p>
      <w:pPr>
        <w:pStyle w:val="Normal"/>
        <w:numPr>
          <w:ilvl w:val="1"/>
          <w:numId w:val="1"/>
        </w:numPr>
        <w:spacing w:lineRule="auto" w:line="276" w:before="120" w:after="120"/>
        <w:ind w:left="716" w:right="0" w:hanging="432"/>
        <w:jc w:val="both"/>
        <w:rPr>
          <w:rFonts w:cs="Arial"/>
          <w:szCs w:val="20"/>
        </w:rPr>
      </w:pPr>
      <w:r>
        <w:rPr>
          <w:rFonts w:cs="Arial" w:ascii="Arial" w:hAnsi="Arial"/>
          <w:sz w:val="22"/>
          <w:szCs w:val="22"/>
        </w:rPr>
        <w:t>A Contratada deve cumprir todas as obrigações constantes no Edital, seus anexos e sua proposta, assumindo como exclusivamente seus os riscos e as despesas decorrentes da boa e perfeita execução do objeto e, ainda:</w:t>
      </w:r>
    </w:p>
    <w:p>
      <w:pPr>
        <w:pStyle w:val="Normal"/>
        <w:widowControl/>
        <w:numPr>
          <w:ilvl w:val="2"/>
          <w:numId w:val="1"/>
        </w:numPr>
        <w:suppressAutoHyphens w:val="true"/>
        <w:overflowPunct w:val="true"/>
        <w:bidi w:val="0"/>
        <w:spacing w:lineRule="auto" w:line="276" w:before="120" w:after="120"/>
        <w:ind w:left="794" w:right="0" w:hanging="57"/>
        <w:jc w:val="both"/>
        <w:rPr>
          <w:rFonts w:cs="Arial"/>
          <w:i w:val="false"/>
          <w:i w:val="false"/>
          <w:iCs w:val="false"/>
          <w:color w:val="000000"/>
          <w:szCs w:val="20"/>
        </w:rPr>
      </w:pPr>
      <w:r>
        <w:rPr>
          <w:rFonts w:cs="Arial" w:ascii="Arial" w:hAnsi="Arial"/>
          <w:sz w:val="22"/>
          <w:szCs w:val="22"/>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ascii="Arial" w:hAnsi="Arial"/>
          <w:i w:val="false"/>
          <w:iCs w:val="false"/>
          <w:color w:val="000000"/>
          <w:sz w:val="22"/>
          <w:szCs w:val="22"/>
        </w:rPr>
        <w:t xml:space="preserve">marca, fabricante, modelo, procedência e prazo de garantia ou validade. </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ascii="Arial" w:hAnsi="Arial"/>
          <w:sz w:val="22"/>
          <w:szCs w:val="22"/>
        </w:rPr>
        <w:t>responsabilizar-se pelos vícios e danos decorrentes do objeto, de acordo com os artigos 12, 13 e 17 a 27, do Código de Defesa do Consumidor (Lei nº 8.078, de 1990);</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ascii="Arial" w:hAnsi="Arial"/>
          <w:sz w:val="22"/>
          <w:szCs w:val="22"/>
        </w:rPr>
        <w:t>substituir, reparar ou corrigir, às suas expensas, no prazo fixado neste Termo de Referência, o objeto com avarias ou defeitos;</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ascii="Arial" w:hAnsi="Arial"/>
          <w:sz w:val="22"/>
          <w:szCs w:val="22"/>
        </w:rPr>
        <w:t>comunicar à Contratante, no prazo máximo de 24 (vinte e quatro) horas que antecede a data da entrega, os motivos que impossibilitem o cumprimento do prazo previsto, com a devida comprovação;</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ascii="Arial" w:hAnsi="Arial"/>
          <w:sz w:val="22"/>
          <w:szCs w:val="22"/>
        </w:rPr>
        <w:t>manter, durante toda a execução do contrato, em compatibilidade com as obrigações assumidas, todas as condições de habilitação e qualificação exigidas na licitação;</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ascii="Arial" w:hAnsi="Arial"/>
          <w:sz w:val="22"/>
          <w:szCs w:val="22"/>
        </w:rPr>
        <w:t>indicar preposto para representá-la durante a execução do contrato.</w:t>
      </w:r>
    </w:p>
    <w:p>
      <w:pPr>
        <w:pStyle w:val="Nivel1"/>
        <w:numPr>
          <w:ilvl w:val="0"/>
          <w:numId w:val="1"/>
        </w:numPr>
        <w:rPr>
          <w:rFonts w:ascii="Arial" w:hAnsi="Arial"/>
          <w:sz w:val="22"/>
          <w:szCs w:val="22"/>
        </w:rPr>
      </w:pPr>
      <w:r>
        <w:rPr>
          <w:rFonts w:ascii="Arial" w:hAnsi="Arial"/>
          <w:sz w:val="22"/>
          <w:szCs w:val="22"/>
        </w:rPr>
        <w:t>DA SUBCONTRATAÇÃO</w:t>
      </w:r>
    </w:p>
    <w:p>
      <w:pPr>
        <w:pStyle w:val="Normal"/>
        <w:spacing w:lineRule="auto" w:line="276" w:before="120" w:after="120"/>
        <w:ind w:left="425" w:right="0" w:hanging="0"/>
        <w:jc w:val="both"/>
        <w:rPr>
          <w:rFonts w:cs="Arial"/>
          <w:i w:val="false"/>
          <w:i w:val="false"/>
          <w:iCs w:val="false"/>
          <w:color w:val="000000"/>
          <w:szCs w:val="20"/>
        </w:rPr>
      </w:pPr>
      <w:r>
        <w:rPr>
          <w:rFonts w:cs="Arial" w:ascii="Arial" w:hAnsi="Arial"/>
          <w:i w:val="false"/>
          <w:iCs w:val="false"/>
          <w:color w:val="000000"/>
          <w:sz w:val="22"/>
          <w:szCs w:val="22"/>
        </w:rPr>
        <w:t>7.1 Não será admitida a subcontratação do objeto licitatório.</w:t>
      </w:r>
    </w:p>
    <w:p>
      <w:pPr>
        <w:pStyle w:val="Nivel1"/>
        <w:numPr>
          <w:ilvl w:val="0"/>
          <w:numId w:val="1"/>
        </w:numPr>
        <w:rPr>
          <w:lang w:eastAsia="en-US"/>
        </w:rPr>
      </w:pPr>
      <w:r>
        <w:rPr>
          <w:rFonts w:ascii="Arial" w:hAnsi="Arial"/>
          <w:sz w:val="22"/>
          <w:szCs w:val="22"/>
          <w:lang w:eastAsia="en-US"/>
        </w:rPr>
        <w:t>DA ALTERAÇÃO SUBJETIVA</w:t>
      </w:r>
    </w:p>
    <w:p>
      <w:pPr>
        <w:pStyle w:val="Normal"/>
        <w:numPr>
          <w:ilvl w:val="1"/>
          <w:numId w:val="1"/>
        </w:numPr>
        <w:spacing w:lineRule="auto" w:line="276" w:before="120" w:after="120"/>
        <w:ind w:left="716" w:right="0" w:hanging="432"/>
        <w:jc w:val="both"/>
        <w:rPr>
          <w:rFonts w:cs="Arial"/>
          <w:szCs w:val="20"/>
          <w:lang w:eastAsia="en-US"/>
        </w:rPr>
      </w:pPr>
      <w:r>
        <w:rPr>
          <w:rFonts w:cs="Arial" w:ascii="Arial" w:hAnsi="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rFonts w:ascii="Arial" w:hAnsi="Arial"/>
          <w:sz w:val="22"/>
          <w:szCs w:val="22"/>
          <w:lang w:eastAsia="en-US"/>
        </w:rPr>
        <w:t xml:space="preserve">DO CONTROLE </w:t>
      </w:r>
      <w:r>
        <w:rPr>
          <w:rFonts w:ascii="Arial" w:hAnsi="Arial"/>
          <w:color w:val="00000A"/>
          <w:sz w:val="22"/>
          <w:szCs w:val="22"/>
          <w:lang w:eastAsia="en-US"/>
        </w:rPr>
        <w:t xml:space="preserve">E FISCALIZAÇÃO DA </w:t>
      </w:r>
      <w:r>
        <w:rPr>
          <w:rFonts w:ascii="Arial" w:hAnsi="Arial"/>
          <w:sz w:val="22"/>
          <w:szCs w:val="22"/>
          <w:lang w:eastAsia="en-US"/>
        </w:rPr>
        <w:t>EXECUÇÃO</w:t>
      </w:r>
    </w:p>
    <w:p>
      <w:pPr>
        <w:pStyle w:val="Normal"/>
        <w:numPr>
          <w:ilvl w:val="1"/>
          <w:numId w:val="1"/>
        </w:numPr>
        <w:spacing w:lineRule="auto" w:line="276" w:before="120" w:after="120"/>
        <w:ind w:left="716" w:right="0" w:hanging="432"/>
        <w:jc w:val="both"/>
        <w:rPr>
          <w:rFonts w:cs="Arial"/>
          <w:color w:val="000000"/>
          <w:szCs w:val="20"/>
        </w:rPr>
      </w:pPr>
      <w:r>
        <w:rPr>
          <w:rFonts w:cs="Arial" w:ascii="Arial" w:hAnsi="Arial"/>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widowControl/>
        <w:numPr>
          <w:ilvl w:val="2"/>
          <w:numId w:val="1"/>
        </w:numPr>
        <w:suppressAutoHyphens w:val="true"/>
        <w:overflowPunct w:val="true"/>
        <w:bidi w:val="0"/>
        <w:spacing w:lineRule="auto" w:line="276" w:before="120" w:after="120"/>
        <w:ind w:left="680" w:right="0" w:hanging="0"/>
        <w:jc w:val="both"/>
        <w:rPr>
          <w:rFonts w:cs="Arial"/>
          <w:color w:val="000000"/>
          <w:szCs w:val="20"/>
          <w:lang w:eastAsia="en-US"/>
        </w:rPr>
      </w:pPr>
      <w:r>
        <w:rPr>
          <w:rFonts w:cs="Arial" w:ascii="Arial" w:hAnsi="Arial"/>
          <w:color w:val="000000"/>
          <w:sz w:val="22"/>
          <w:szCs w:val="22"/>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ascii="Arial" w:hAnsi="Arial"/>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ascii="Arial" w:hAnsi="Arial"/>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rFonts w:ascii="Arial" w:hAnsi="Arial"/>
          <w:sz w:val="22"/>
          <w:szCs w:val="22"/>
        </w:rPr>
      </w:pPr>
      <w:r>
        <w:rPr>
          <w:rFonts w:ascii="Arial" w:hAnsi="Arial"/>
          <w:sz w:val="22"/>
          <w:szCs w:val="22"/>
        </w:rPr>
        <w:t>DO PAGAMENTO</w:t>
      </w:r>
    </w:p>
    <w:p>
      <w:pPr>
        <w:pStyle w:val="Normal"/>
        <w:spacing w:lineRule="auto" w:line="276" w:before="120" w:after="120"/>
        <w:ind w:left="425" w:right="0" w:hanging="0"/>
        <w:jc w:val="both"/>
        <w:rPr>
          <w:rFonts w:ascii="Arial" w:hAnsi="Arial" w:cs="Arial"/>
          <w:color w:val="000000"/>
          <w:sz w:val="22"/>
          <w:szCs w:val="22"/>
          <w:lang w:eastAsia="en-US"/>
        </w:rPr>
      </w:pPr>
      <w:r>
        <w:rPr>
          <w:rFonts w:cs="Arial" w:ascii="Arial" w:hAnsi="Arial"/>
          <w:color w:val="000000"/>
          <w:sz w:val="22"/>
          <w:szCs w:val="22"/>
          <w:lang w:eastAsia="en-US"/>
        </w:rPr>
      </w:r>
    </w:p>
    <w:p>
      <w:pPr>
        <w:pStyle w:val="ListParagraph"/>
        <w:numPr>
          <w:ilvl w:val="1"/>
          <w:numId w:val="1"/>
        </w:numPr>
        <w:spacing w:lineRule="auto" w:line="276" w:before="120" w:after="120"/>
        <w:contextualSpacing/>
        <w:jc w:val="both"/>
        <w:rPr>
          <w:rFonts w:cs="Arial"/>
          <w:color w:val="000000"/>
          <w:szCs w:val="20"/>
          <w:lang w:eastAsia="en-US"/>
        </w:rPr>
      </w:pPr>
      <w:r>
        <w:rPr>
          <w:rFonts w:cs="Arial" w:ascii="Arial" w:hAnsi="Arial"/>
          <w:color w:val="000000"/>
          <w:sz w:val="22"/>
          <w:szCs w:val="22"/>
          <w:lang w:eastAsia="en-US"/>
        </w:rPr>
        <w:t xml:space="preserve">O pagamento será realizado no prazo máximo de até 30 (trinta) dias, contados a partir </w:t>
      </w:r>
      <w:r>
        <w:rPr>
          <w:rFonts w:cs="Arial" w:ascii="Arial" w:hAnsi="Arial"/>
          <w:color w:val="000000"/>
          <w:sz w:val="22"/>
          <w:szCs w:val="22"/>
        </w:rPr>
        <w:t xml:space="preserve">do recebimento da Nota Fiscal ou Fatura, </w:t>
      </w:r>
      <w:r>
        <w:rPr>
          <w:rFonts w:cs="Arial" w:ascii="Arial" w:hAnsi="Arial"/>
          <w:color w:val="000000"/>
          <w:sz w:val="22"/>
          <w:szCs w:val="22"/>
          <w:lang w:eastAsia="en-US"/>
        </w:rPr>
        <w:t>através de ordem bancária, para crédito em banco, agência e conta corrente indicados pelo contratado.</w:t>
      </w:r>
    </w:p>
    <w:p>
      <w:pPr>
        <w:pStyle w:val="ListParagraph"/>
        <w:widowControl/>
        <w:numPr>
          <w:ilvl w:val="2"/>
          <w:numId w:val="1"/>
        </w:numPr>
        <w:suppressAutoHyphens w:val="true"/>
        <w:overflowPunct w:val="true"/>
        <w:bidi w:val="0"/>
        <w:spacing w:lineRule="auto" w:line="276" w:before="120" w:after="120"/>
        <w:ind w:left="907" w:right="0" w:hanging="0"/>
        <w:contextualSpacing/>
        <w:jc w:val="both"/>
        <w:rPr>
          <w:rFonts w:cs="Arial"/>
          <w:color w:val="000000"/>
          <w:szCs w:val="20"/>
          <w:lang w:eastAsia="en-US"/>
        </w:rPr>
      </w:pPr>
      <w:r>
        <w:rPr>
          <w:rFonts w:cs="Arial" w:ascii="Arial" w:hAnsi="Arial"/>
          <w:sz w:val="22"/>
          <w:szCs w:val="22"/>
          <w:lang w:eastAsia="en-US"/>
        </w:rPr>
        <w:t xml:space="preserve">Os pagamentos decorrentes de despesas cujos valores não ultrapassem o limite </w:t>
      </w:r>
      <w:r>
        <w:rPr>
          <w:rFonts w:cs="Arial" w:ascii="Arial" w:hAnsi="Arial"/>
          <w:sz w:val="22"/>
          <w:szCs w:val="22"/>
        </w:rPr>
        <w:t>de que trata o inciso II do art. 24</w:t>
      </w:r>
      <w:r>
        <w:rPr>
          <w:rFonts w:cs="Arial" w:ascii="Arial" w:hAnsi="Arial"/>
          <w:sz w:val="22"/>
          <w:szCs w:val="22"/>
          <w:lang w:eastAsia="en-US"/>
        </w:rPr>
        <w:t xml:space="preserve"> da Lei 8.666, de 1993, deverão ser efetuados no prazo de até 5 (cinco) dias úteis, contados da data da apresentação da Nota Fiscal, nos termos do art. 5º, § 3º, da Lei nº 8.666, de 1993</w:t>
      </w:r>
      <w:r>
        <w:rPr>
          <w:rFonts w:cs="Arial" w:ascii="Arial" w:hAnsi="Arial"/>
          <w:color w:val="000000"/>
          <w:sz w:val="22"/>
          <w:szCs w:val="22"/>
          <w:lang w:eastAsia="en-US"/>
        </w:rPr>
        <w:t>.</w:t>
      </w:r>
    </w:p>
    <w:p>
      <w:pPr>
        <w:pStyle w:val="ListParagraph"/>
        <w:numPr>
          <w:ilvl w:val="1"/>
          <w:numId w:val="1"/>
        </w:numPr>
        <w:spacing w:lineRule="auto" w:line="276" w:before="120" w:after="120"/>
        <w:contextualSpacing/>
        <w:jc w:val="both"/>
        <w:rPr>
          <w:rFonts w:cs="Arial"/>
          <w:color w:val="000000"/>
          <w:szCs w:val="20"/>
        </w:rPr>
      </w:pPr>
      <w:r>
        <w:rPr>
          <w:rFonts w:cs="Arial" w:ascii="Arial" w:hAnsi="Arial"/>
          <w:color w:val="000000"/>
          <w:sz w:val="22"/>
          <w:szCs w:val="22"/>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color w:val="000000"/>
        </w:rPr>
      </w:pPr>
      <w:r>
        <w:rPr>
          <w:rFonts w:ascii="Arial" w:hAnsi="Arial"/>
          <w:color w:val="000000"/>
          <w:sz w:val="22"/>
          <w:szCs w:val="22"/>
        </w:rPr>
        <w:t xml:space="preserve">A Nota Fiscal ou Fatura deverá ser obrigatoriamente acompanhada da comprovação da regularidade fiscal, constatada por meio de consulta on-line ao SICAF ou, na impossibilidade de acesso </w:t>
      </w:r>
      <w:r>
        <w:rPr>
          <w:rFonts w:cs="Arial" w:ascii="Arial" w:hAnsi="Arial"/>
          <w:color w:val="000000"/>
          <w:sz w:val="22"/>
          <w:szCs w:val="22"/>
          <w:lang w:eastAsia="en-US"/>
        </w:rPr>
        <w:t>ao</w:t>
      </w:r>
      <w:r>
        <w:rPr>
          <w:rFonts w:ascii="Arial" w:hAnsi="Arial"/>
          <w:color w:val="000000"/>
          <w:sz w:val="22"/>
          <w:szCs w:val="22"/>
        </w:rPr>
        <w:t xml:space="preserve"> referido Sistema, mediante consulta aos sítios eletrônicos oficiais ou à documentação mencionada no art. 29 da Lei nº 8.666, de 1993. </w:t>
      </w:r>
    </w:p>
    <w:p>
      <w:pPr>
        <w:pStyle w:val="Normal"/>
        <w:widowControl/>
        <w:numPr>
          <w:ilvl w:val="2"/>
          <w:numId w:val="1"/>
        </w:numPr>
        <w:suppressAutoHyphens w:val="true"/>
        <w:overflowPunct w:val="true"/>
        <w:bidi w:val="0"/>
        <w:spacing w:lineRule="auto" w:line="276" w:before="120" w:after="120"/>
        <w:ind w:left="907" w:right="0" w:firstLine="57"/>
        <w:jc w:val="both"/>
        <w:rPr>
          <w:color w:val="000000"/>
        </w:rPr>
      </w:pPr>
      <w:r>
        <w:rPr>
          <w:rFonts w:ascii="Arial" w:hAnsi="Arial"/>
          <w:color w:val="000000"/>
          <w:sz w:val="22"/>
          <w:szCs w:val="22"/>
        </w:rPr>
        <w:t xml:space="preserve">Constatando-se, junto ao SICAF, a situação de irregularidade do fornecedor contratado, deverão ser tomadas as providências previstas no do art. 31 da Instrução </w:t>
      </w:r>
      <w:r>
        <w:rPr>
          <w:rFonts w:cs="Arial" w:ascii="Arial" w:hAnsi="Arial"/>
          <w:color w:val="000000"/>
          <w:sz w:val="22"/>
          <w:szCs w:val="22"/>
          <w:lang w:eastAsia="en-US"/>
        </w:rPr>
        <w:t>Normativa</w:t>
      </w:r>
      <w:r>
        <w:rPr>
          <w:rFonts w:ascii="Arial" w:hAnsi="Arial"/>
          <w:color w:val="000000"/>
          <w:sz w:val="22"/>
          <w:szCs w:val="22"/>
        </w:rPr>
        <w:t xml:space="preserve"> nº 3, de 26 de abril de 2018.</w:t>
      </w:r>
    </w:p>
    <w:p>
      <w:pPr>
        <w:pStyle w:val="ListParagraph"/>
        <w:numPr>
          <w:ilvl w:val="1"/>
          <w:numId w:val="1"/>
        </w:numPr>
        <w:spacing w:lineRule="auto" w:line="276" w:before="120" w:after="120"/>
        <w:ind w:left="716" w:right="0" w:hanging="432"/>
        <w:contextualSpacing/>
        <w:jc w:val="both"/>
        <w:rPr>
          <w:rFonts w:cs="Arial"/>
          <w:color w:val="000000"/>
          <w:szCs w:val="20"/>
          <w:lang w:eastAsia="en-US"/>
        </w:rPr>
      </w:pPr>
      <w:r>
        <w:rPr>
          <w:rFonts w:cs="Arial" w:ascii="Arial" w:hAnsi="Arial"/>
          <w:color w:val="000000"/>
          <w:sz w:val="22"/>
          <w:szCs w:val="22"/>
          <w:lang w:eastAsia="en-US"/>
        </w:rPr>
        <w:t xml:space="preserve">Havendo erro na apresentação da Nota Fiscal ou dos documentos pertinentes à contratação, ou, ainda, circunstância que impeça a liquidação da despesa, como, por exemplo, </w:t>
      </w:r>
      <w:r>
        <w:rPr>
          <w:rFonts w:cs="Arial" w:ascii="Arial" w:hAnsi="Arial"/>
          <w:color w:val="000000"/>
          <w:sz w:val="22"/>
          <w:szCs w:val="22"/>
        </w:rPr>
        <w:t>obrigação financeira pendente, decorrente de penalidade imposta ou inadimplência,</w:t>
      </w:r>
      <w:r>
        <w:rPr>
          <w:rFonts w:cs="Arial" w:ascii="Arial" w:hAnsi="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ascii="Arial" w:hAnsi="Arial"/>
          <w:sz w:val="22"/>
          <w:szCs w:val="22"/>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right="0" w:hanging="0"/>
        <w:contextualSpacing/>
        <w:jc w:val="both"/>
        <w:rPr>
          <w:rFonts w:cs="Arial"/>
          <w:szCs w:val="20"/>
          <w:lang w:eastAsia="en-US"/>
        </w:rPr>
      </w:pPr>
      <w:r>
        <w:rPr>
          <w:rFonts w:cs="Arial" w:ascii="Arial" w:hAnsi="Arial"/>
          <w:sz w:val="22"/>
          <w:szCs w:val="22"/>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ascii="Arial" w:hAnsi="Arial"/>
          <w:color w:val="000000"/>
          <w:sz w:val="22"/>
          <w:szCs w:val="22"/>
        </w:rPr>
        <w:t>Quando do pagamento, será efetuada a retenção tributária prevista na legislação aplicável.</w:t>
      </w:r>
    </w:p>
    <w:p>
      <w:pPr>
        <w:pStyle w:val="Normal"/>
        <w:widowControl/>
        <w:numPr>
          <w:ilvl w:val="2"/>
          <w:numId w:val="1"/>
        </w:numPr>
        <w:tabs>
          <w:tab w:val="left" w:pos="1440" w:leader="none"/>
        </w:tabs>
        <w:suppressAutoHyphens w:val="true"/>
        <w:overflowPunct w:val="true"/>
        <w:bidi w:val="0"/>
        <w:spacing w:lineRule="auto" w:line="276" w:before="120" w:after="120"/>
        <w:ind w:left="850" w:right="0" w:hanging="57"/>
        <w:jc w:val="both"/>
        <w:rPr>
          <w:rFonts w:cs="Arial"/>
          <w:color w:val="000000"/>
          <w:szCs w:val="20"/>
        </w:rPr>
      </w:pPr>
      <w:r>
        <w:rPr>
          <w:rFonts w:cs="Arial" w:ascii="Arial" w:hAnsi="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jc w:val="both"/>
        <w:rPr>
          <w:rFonts w:cs="Arial"/>
          <w:szCs w:val="20"/>
          <w:lang w:eastAsia="en-US"/>
        </w:rPr>
      </w:pPr>
      <w:r>
        <w:rPr>
          <w:rFonts w:cs="Arial" w:ascii="Arial" w:hAnsi="Arial"/>
          <w:sz w:val="22"/>
          <w:szCs w:val="22"/>
          <w:lang w:eastAsia="en-US"/>
        </w:rPr>
        <w:t xml:space="preserv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rFonts w:cs="Arial"/>
          <w:color w:val="000000"/>
          <w:szCs w:val="20"/>
        </w:rPr>
      </w:pPr>
      <w:r>
        <w:rPr>
          <w:rFonts w:cs="Arial" w:ascii="Arial" w:hAnsi="Arial"/>
          <w:color w:val="000000"/>
          <w:sz w:val="22"/>
          <w:szCs w:val="22"/>
        </w:rPr>
        <w:t>EM = I x N x VP, sendo:</w:t>
      </w:r>
    </w:p>
    <w:p>
      <w:pPr>
        <w:pStyle w:val="Normal"/>
        <w:tabs>
          <w:tab w:val="left" w:pos="1701" w:leader="none"/>
        </w:tabs>
        <w:spacing w:lineRule="auto" w:line="276" w:before="120" w:after="120"/>
        <w:ind w:left="425" w:right="0" w:hanging="0"/>
        <w:jc w:val="both"/>
        <w:rPr>
          <w:rFonts w:cs="Arial"/>
          <w:color w:val="000000"/>
          <w:szCs w:val="20"/>
        </w:rPr>
      </w:pPr>
      <w:r>
        <w:rPr>
          <w:rFonts w:cs="Arial" w:ascii="Arial" w:hAnsi="Arial"/>
          <w:color w:val="000000"/>
          <w:sz w:val="22"/>
          <w:szCs w:val="22"/>
        </w:rPr>
        <w:t>EM = Encargos moratórios;</w:t>
      </w:r>
    </w:p>
    <w:p>
      <w:pPr>
        <w:pStyle w:val="Normal"/>
        <w:tabs>
          <w:tab w:val="left" w:pos="1701" w:leader="none"/>
        </w:tabs>
        <w:spacing w:lineRule="auto" w:line="276" w:before="120" w:after="120"/>
        <w:ind w:left="425" w:right="0" w:hanging="0"/>
        <w:jc w:val="both"/>
        <w:rPr>
          <w:rFonts w:cs="Arial"/>
          <w:color w:val="000000"/>
          <w:szCs w:val="20"/>
        </w:rPr>
      </w:pPr>
      <w:r>
        <w:rPr>
          <w:rFonts w:cs="Arial" w:ascii="Arial" w:hAnsi="Arial"/>
          <w:color w:val="000000"/>
          <w:sz w:val="22"/>
          <w:szCs w:val="22"/>
        </w:rPr>
        <w:t>N = Número de dias entre a data prevista para o pagamento e a do efetivo pagamento;</w:t>
      </w:r>
    </w:p>
    <w:p>
      <w:pPr>
        <w:pStyle w:val="Normal"/>
        <w:tabs>
          <w:tab w:val="left" w:pos="1701" w:leader="none"/>
        </w:tabs>
        <w:spacing w:lineRule="auto" w:line="276" w:before="120" w:after="120"/>
        <w:ind w:left="425" w:right="0" w:hanging="0"/>
        <w:jc w:val="both"/>
        <w:rPr>
          <w:rFonts w:cs="Arial"/>
          <w:color w:val="000000"/>
          <w:szCs w:val="20"/>
        </w:rPr>
      </w:pPr>
      <w:r>
        <w:rPr>
          <w:rFonts w:cs="Arial" w:ascii="Arial" w:hAnsi="Arial"/>
          <w:color w:val="000000"/>
          <w:sz w:val="22"/>
          <w:szCs w:val="22"/>
        </w:rPr>
        <w:t>VP = Valor da parcela a ser paga.</w:t>
      </w:r>
    </w:p>
    <w:p>
      <w:pPr>
        <w:pStyle w:val="Normal"/>
        <w:tabs>
          <w:tab w:val="left" w:pos="1701" w:leader="none"/>
        </w:tabs>
        <w:spacing w:lineRule="auto" w:line="276" w:before="120" w:after="120"/>
        <w:ind w:left="425" w:right="0" w:hanging="0"/>
        <w:jc w:val="both"/>
        <w:rPr>
          <w:rFonts w:cs="Arial"/>
          <w:color w:val="000000"/>
          <w:szCs w:val="20"/>
        </w:rPr>
      </w:pPr>
      <w:r>
        <w:rPr>
          <w:rFonts w:cs="Arial" w:ascii="Arial" w:hAnsi="Arial"/>
          <w:color w:val="000000"/>
          <w:sz w:val="22"/>
          <w:szCs w:val="22"/>
        </w:rPr>
        <w:t>I = Índice de compensação financeira = 0,00016438, assim apurado:</w:t>
      </w:r>
    </w:p>
    <w:tbl>
      <w:tblPr>
        <w:tblW w:w="8646" w:type="dxa"/>
        <w:jc w:val="left"/>
        <w:tblInd w:w="425" w:type="dxa"/>
        <w:tblBorders/>
        <w:tblCellMar>
          <w:top w:w="0" w:type="dxa"/>
          <w:left w:w="123" w:type="dxa"/>
          <w:bottom w:w="0" w:type="dxa"/>
          <w:right w:w="108" w:type="dxa"/>
        </w:tblCellMar>
      </w:tblPr>
      <w:tblGrid>
        <w:gridCol w:w="2145"/>
        <w:gridCol w:w="581"/>
        <w:gridCol w:w="1247"/>
        <w:gridCol w:w="4672"/>
      </w:tblGrid>
      <w:tr>
        <w:trPr/>
        <w:tc>
          <w:tcPr>
            <w:tcW w:w="2145" w:type="dxa"/>
            <w:tcBorders/>
            <w:shd w:fill="FFFFFF" w:val="clear"/>
            <w:vAlign w:val="center"/>
          </w:tcPr>
          <w:p>
            <w:pPr>
              <w:pStyle w:val="Normal"/>
              <w:tabs>
                <w:tab w:val="left" w:pos="1701" w:leader="none"/>
              </w:tabs>
              <w:jc w:val="center"/>
              <w:rPr>
                <w:rFonts w:eastAsia="ＭＳ 明朝" w:cs="Arial"/>
                <w:color w:val="000000"/>
                <w:szCs w:val="20"/>
                <w:lang w:eastAsia="en-US"/>
              </w:rPr>
            </w:pPr>
            <w:r>
              <w:rPr>
                <w:rFonts w:eastAsia="ＭＳ 明朝" w:cs="Arial" w:ascii="Arial" w:hAnsi="Arial"/>
                <w:color w:val="000000"/>
                <w:sz w:val="22"/>
                <w:szCs w:val="22"/>
                <w:lang w:eastAsia="en-US"/>
              </w:rPr>
              <w:t>I = (TX)</w:t>
            </w:r>
          </w:p>
        </w:tc>
        <w:tc>
          <w:tcPr>
            <w:tcW w:w="581" w:type="dxa"/>
            <w:tcBorders/>
            <w:shd w:fill="FFFFFF" w:val="clear"/>
            <w:vAlign w:val="center"/>
          </w:tcPr>
          <w:p>
            <w:pPr>
              <w:pStyle w:val="Normal"/>
              <w:tabs>
                <w:tab w:val="left" w:pos="1701" w:leader="none"/>
              </w:tabs>
              <w:rPr>
                <w:rFonts w:eastAsia="ＭＳ 明朝" w:cs="Arial"/>
                <w:color w:val="000000"/>
                <w:szCs w:val="20"/>
                <w:lang w:eastAsia="en-US"/>
              </w:rPr>
            </w:pPr>
            <w:r>
              <w:rPr>
                <w:rFonts w:eastAsia="ＭＳ 明朝" w:cs="Arial" w:ascii="Arial" w:hAnsi="Arial"/>
                <w:color w:val="000000"/>
                <w:sz w:val="22"/>
                <w:szCs w:val="22"/>
                <w:lang w:eastAsia="en-US"/>
              </w:rPr>
              <w:t xml:space="preserve">I = </w:t>
            </w:r>
          </w:p>
        </w:tc>
        <w:tc>
          <w:tcPr>
            <w:tcW w:w="1247" w:type="dxa"/>
            <w:tcBorders>
              <w:top w:val="single" w:sz="4" w:space="0" w:color="00000A"/>
              <w:bottom w:val="single" w:sz="4" w:space="0" w:color="00000A"/>
              <w:insideH w:val="single" w:sz="4" w:space="0" w:color="00000A"/>
            </w:tcBorders>
            <w:shd w:fill="FFFFFF" w:val="clear"/>
          </w:tcPr>
          <w:p>
            <w:pPr>
              <w:pStyle w:val="Normal"/>
              <w:tabs>
                <w:tab w:val="left" w:pos="1701" w:leader="none"/>
              </w:tabs>
              <w:jc w:val="center"/>
              <w:rPr>
                <w:rFonts w:eastAsia="ＭＳ 明朝" w:cs="Arial"/>
                <w:color w:val="000000"/>
                <w:szCs w:val="20"/>
                <w:lang w:eastAsia="en-US"/>
              </w:rPr>
            </w:pPr>
            <w:r>
              <w:rPr>
                <w:rFonts w:eastAsia="ＭＳ 明朝" w:cs="Arial" w:ascii="Arial" w:hAnsi="Arial"/>
                <w:color w:val="000000"/>
                <w:sz w:val="22"/>
                <w:szCs w:val="22"/>
                <w:lang w:eastAsia="en-US"/>
              </w:rPr>
              <w:t>( 6 / 100 )</w:t>
            </w:r>
          </w:p>
        </w:tc>
        <w:tc>
          <w:tcPr>
            <w:tcW w:w="4672" w:type="dxa"/>
            <w:tcBorders/>
            <w:shd w:fill="FFFFFF" w:val="clear"/>
            <w:vAlign w:val="center"/>
          </w:tcPr>
          <w:p>
            <w:pPr>
              <w:pStyle w:val="Normal"/>
              <w:tabs>
                <w:tab w:val="left" w:pos="1701" w:leader="none"/>
              </w:tabs>
              <w:ind w:left="742" w:right="0" w:hanging="0"/>
              <w:rPr>
                <w:rFonts w:eastAsia="ＭＳ 明朝" w:cs="Arial"/>
                <w:color w:val="000000"/>
                <w:szCs w:val="20"/>
                <w:lang w:eastAsia="en-US"/>
              </w:rPr>
            </w:pPr>
            <w:r>
              <w:rPr>
                <w:rFonts w:eastAsia="ＭＳ 明朝" w:cs="Arial" w:ascii="Arial" w:hAnsi="Arial"/>
                <w:color w:val="000000"/>
                <w:sz w:val="22"/>
                <w:szCs w:val="22"/>
                <w:lang w:eastAsia="en-US"/>
              </w:rPr>
              <w:t>I = 0,00016438</w:t>
            </w:r>
          </w:p>
          <w:p>
            <w:pPr>
              <w:pStyle w:val="Normal"/>
              <w:tabs>
                <w:tab w:val="left" w:pos="1701" w:leader="none"/>
              </w:tabs>
              <w:ind w:left="742" w:right="0" w:hanging="0"/>
              <w:rPr>
                <w:rFonts w:eastAsia="ＭＳ 明朝" w:cs="Arial"/>
                <w:color w:val="000000"/>
                <w:szCs w:val="20"/>
                <w:lang w:eastAsia="en-US"/>
              </w:rPr>
            </w:pPr>
            <w:r>
              <w:rPr>
                <w:rFonts w:eastAsia="ＭＳ 明朝" w:cs="Arial" w:ascii="Arial" w:hAnsi="Arial"/>
                <w:color w:val="000000"/>
                <w:sz w:val="22"/>
                <w:szCs w:val="22"/>
                <w:lang w:eastAsia="en-US"/>
              </w:rPr>
              <w:t>TX = Percentual da taxa anual = 6%</w:t>
            </w:r>
          </w:p>
        </w:tc>
      </w:tr>
    </w:tbl>
    <w:p>
      <w:pPr>
        <w:pStyle w:val="Normal"/>
        <w:rPr>
          <w:rFonts w:ascii="Arial" w:hAnsi="Arial"/>
          <w:sz w:val="22"/>
          <w:szCs w:val="22"/>
        </w:rPr>
      </w:pPr>
      <w:r>
        <w:rPr>
          <w:rFonts w:ascii="Arial" w:hAnsi="Arial"/>
          <w:sz w:val="22"/>
          <w:szCs w:val="22"/>
        </w:rPr>
        <w:t xml:space="preserve">                                                            </w:t>
      </w:r>
      <w:r>
        <w:rPr>
          <w:rFonts w:ascii="Arial" w:hAnsi="Arial"/>
          <w:sz w:val="22"/>
          <w:szCs w:val="22"/>
        </w:rPr>
        <w:t>365</w:t>
      </w:r>
    </w:p>
    <w:p>
      <w:pPr>
        <w:pStyle w:val="Normal"/>
        <w:rPr>
          <w:rFonts w:ascii="Arial" w:hAnsi="Arial"/>
          <w:sz w:val="22"/>
          <w:szCs w:val="22"/>
        </w:rPr>
      </w:pPr>
      <w:r>
        <w:rPr>
          <w:rFonts w:ascii="Arial" w:hAnsi="Arial"/>
          <w:sz w:val="22"/>
          <w:szCs w:val="22"/>
        </w:rPr>
      </w:r>
    </w:p>
    <w:p>
      <w:pPr>
        <w:pStyle w:val="Nivel1"/>
        <w:numPr>
          <w:ilvl w:val="0"/>
          <w:numId w:val="1"/>
        </w:numPr>
        <w:rPr>
          <w:rFonts w:ascii="Arial" w:hAnsi="Arial"/>
          <w:sz w:val="22"/>
          <w:szCs w:val="22"/>
        </w:rPr>
      </w:pPr>
      <w:r>
        <w:rPr>
          <w:rFonts w:ascii="Arial" w:hAnsi="Arial"/>
          <w:sz w:val="22"/>
          <w:szCs w:val="22"/>
        </w:rPr>
        <w:t xml:space="preserve">DO REAJUSTE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Os preços são fixos e irreajustáveis no prazo de um ano contado da data limite para a apresentação das propostas.</w:t>
      </w:r>
    </w:p>
    <w:p>
      <w:pPr>
        <w:pStyle w:val="ListParagraph"/>
        <w:numPr>
          <w:ilvl w:val="2"/>
          <w:numId w:val="1"/>
        </w:numPr>
        <w:spacing w:lineRule="auto" w:line="276" w:before="120" w:after="120"/>
        <w:ind w:left="930" w:right="0" w:hanging="504"/>
        <w:contextualSpacing/>
        <w:jc w:val="both"/>
        <w:rPr>
          <w:rFonts w:cs="Arial"/>
          <w:color w:val="000000"/>
          <w:szCs w:val="20"/>
        </w:rPr>
      </w:pPr>
      <w:r>
        <w:rPr>
          <w:rFonts w:cs="Arial" w:ascii="Arial" w:hAnsi="Arial"/>
          <w:sz w:val="22"/>
          <w:szCs w:val="22"/>
        </w:rPr>
        <w:t xml:space="preserve">Dentro do prazo de vigência do contrato e mediante solicitação da contratada, os preços contratados poderão sofrer reajuste após o interregno de um ano, aplicando-se o índice </w:t>
      </w:r>
      <w:r>
        <w:rPr>
          <w:rFonts w:cs="Arial" w:ascii="Arial" w:hAnsi="Arial"/>
          <w:color w:val="000000"/>
          <w:sz w:val="22"/>
          <w:szCs w:val="22"/>
        </w:rPr>
        <w:t xml:space="preserve">IPCA/IBGE </w:t>
      </w:r>
      <w:r>
        <w:rPr>
          <w:rFonts w:cs="Arial" w:ascii="Arial" w:hAnsi="Arial"/>
          <w:sz w:val="22"/>
          <w:szCs w:val="22"/>
        </w:rPr>
        <w:t>exclusivamente para as obrigações iniciadas e concluídas após a ocorrência da anualidade</w:t>
      </w:r>
      <w:r>
        <w:rPr>
          <w:rFonts w:cs="Arial" w:ascii="Arial" w:hAnsi="Arial"/>
          <w:color w:val="000000"/>
          <w:sz w:val="22"/>
          <w:szCs w:val="22"/>
        </w:rPr>
        <w:t>.</w:t>
      </w:r>
    </w:p>
    <w:p>
      <w:pPr>
        <w:pStyle w:val="ListParagraph"/>
        <w:spacing w:lineRule="auto" w:line="276" w:before="120" w:after="120"/>
        <w:ind w:left="1134" w:right="0" w:hanging="0"/>
        <w:contextualSpacing/>
        <w:jc w:val="both"/>
        <w:rPr>
          <w:rFonts w:ascii="Arial" w:hAnsi="Arial" w:cs="Arial"/>
          <w:color w:val="000000"/>
          <w:sz w:val="22"/>
          <w:szCs w:val="22"/>
        </w:rPr>
      </w:pPr>
      <w:r>
        <w:rPr>
          <w:rFonts w:cs="Arial" w:ascii="Arial" w:hAnsi="Arial"/>
          <w:color w:val="000000"/>
          <w:sz w:val="22"/>
          <w:szCs w:val="22"/>
        </w:rPr>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Nas aferições finais, o índice utilizado para reajuste será, obrigatoriamente, o definitivo.</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ascii="Arial" w:hAnsi="Arial"/>
          <w:color w:val="000000"/>
          <w:sz w:val="22"/>
          <w:szCs w:val="22"/>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0" w:after="120"/>
        <w:ind w:left="716" w:right="0" w:hanging="432"/>
        <w:contextualSpacing/>
        <w:jc w:val="both"/>
        <w:rPr>
          <w:rFonts w:cs="Arial"/>
          <w:color w:val="000000"/>
          <w:szCs w:val="20"/>
        </w:rPr>
      </w:pPr>
      <w:r>
        <w:rPr>
          <w:rFonts w:cs="Arial" w:ascii="Arial" w:hAnsi="Arial"/>
          <w:color w:val="000000"/>
          <w:sz w:val="22"/>
          <w:szCs w:val="22"/>
        </w:rPr>
        <w:t>O reajuste será realizado por apostilamento.</w:t>
      </w:r>
    </w:p>
    <w:p>
      <w:pPr>
        <w:pStyle w:val="Normal"/>
        <w:spacing w:lineRule="auto" w:line="276" w:before="0" w:after="120"/>
        <w:ind w:left="425" w:right="0" w:hanging="0"/>
        <w:jc w:val="both"/>
        <w:rPr>
          <w:rFonts w:ascii="Arial" w:hAnsi="Arial" w:cs="Arial"/>
          <w:color w:val="000000"/>
          <w:sz w:val="22"/>
          <w:szCs w:val="22"/>
        </w:rPr>
      </w:pPr>
      <w:r>
        <w:rPr>
          <w:rFonts w:cs="Arial" w:ascii="Arial" w:hAnsi="Arial"/>
          <w:color w:val="000000"/>
          <w:sz w:val="22"/>
          <w:szCs w:val="22"/>
        </w:rPr>
      </w:r>
    </w:p>
    <w:p>
      <w:pPr>
        <w:pStyle w:val="Nivel1"/>
        <w:numPr>
          <w:ilvl w:val="0"/>
          <w:numId w:val="1"/>
        </w:numPr>
        <w:spacing w:before="0" w:after="120"/>
        <w:rPr>
          <w:rFonts w:ascii="Arial" w:hAnsi="Arial"/>
          <w:sz w:val="22"/>
          <w:szCs w:val="22"/>
        </w:rPr>
      </w:pPr>
      <w:r>
        <w:rPr>
          <w:rFonts w:ascii="Arial" w:hAnsi="Arial"/>
          <w:sz w:val="22"/>
          <w:szCs w:val="22"/>
        </w:rPr>
        <w:t>DA GARANTIA DE EXECUÇÃO</w:t>
      </w:r>
    </w:p>
    <w:p>
      <w:pPr>
        <w:pStyle w:val="Normal"/>
        <w:widowControl/>
        <w:suppressAutoHyphens w:val="true"/>
        <w:overflowPunct w:val="true"/>
        <w:bidi w:val="0"/>
        <w:spacing w:lineRule="auto" w:line="276" w:before="120" w:after="120"/>
        <w:ind w:left="340" w:right="0" w:hanging="0"/>
        <w:jc w:val="both"/>
        <w:rPr>
          <w:rFonts w:cs="Arial"/>
          <w:i w:val="false"/>
          <w:i w:val="false"/>
          <w:iCs w:val="false"/>
          <w:color w:val="000000"/>
        </w:rPr>
      </w:pPr>
      <w:r>
        <w:rPr>
          <w:rFonts w:cs="Arial" w:ascii="Arial" w:hAnsi="Arial"/>
          <w:i w:val="false"/>
          <w:iCs w:val="false"/>
          <w:color w:val="000000"/>
          <w:sz w:val="22"/>
          <w:szCs w:val="22"/>
        </w:rPr>
        <w:t>12.1. Não haverá exigência de garantia contratual da execução, pelas razões abaixo justificadas:</w:t>
      </w:r>
    </w:p>
    <w:p>
      <w:pPr>
        <w:pStyle w:val="Normal"/>
        <w:widowControl/>
        <w:numPr>
          <w:ilvl w:val="2"/>
          <w:numId w:val="1"/>
        </w:numPr>
        <w:bidi w:val="0"/>
        <w:spacing w:lineRule="auto" w:line="276" w:before="120" w:after="120"/>
        <w:ind w:left="930" w:right="0" w:hanging="504"/>
        <w:jc w:val="both"/>
        <w:rPr>
          <w:rFonts w:cs="Arial"/>
          <w:i w:val="false"/>
          <w:i w:val="false"/>
          <w:iCs w:val="false"/>
          <w:color w:val="000000"/>
        </w:rPr>
      </w:pPr>
      <w:r>
        <w:rPr>
          <w:rFonts w:cs="Arial" w:ascii="Arial" w:hAnsi="Arial"/>
          <w:i w:val="false"/>
          <w:iCs w:val="false"/>
          <w:color w:val="000000"/>
          <w:sz w:val="22"/>
          <w:szCs w:val="22"/>
        </w:rPr>
        <w:t>A não exigência de garantia tem justificativa por escolha, por conveniência ou oportunidade da Administração.</w:t>
      </w:r>
    </w:p>
    <w:p>
      <w:pPr>
        <w:pStyle w:val="Nivel1"/>
        <w:ind w:left="357" w:right="0" w:hanging="357"/>
        <w:rPr>
          <w:rFonts w:ascii="Arial" w:hAnsi="Arial"/>
          <w:sz w:val="22"/>
          <w:szCs w:val="22"/>
        </w:rPr>
      </w:pPr>
      <w:r>
        <w:rPr>
          <w:rFonts w:ascii="Arial" w:hAnsi="Arial"/>
          <w:sz w:val="22"/>
          <w:szCs w:val="22"/>
        </w:rPr>
        <w:t>13. DAS SANÇÕES ADMINISTRATIVAS</w:t>
      </w:r>
    </w:p>
    <w:p>
      <w:pPr>
        <w:pStyle w:val="Normal"/>
        <w:spacing w:lineRule="auto" w:line="276" w:before="120" w:after="120"/>
        <w:ind w:left="425" w:right="0" w:hanging="0"/>
        <w:jc w:val="both"/>
        <w:rPr>
          <w:rFonts w:cs="Arial"/>
          <w:szCs w:val="20"/>
        </w:rPr>
      </w:pPr>
      <w:r>
        <w:rPr>
          <w:rFonts w:cs="Arial" w:ascii="Arial" w:hAnsi="Arial"/>
          <w:sz w:val="22"/>
          <w:szCs w:val="22"/>
        </w:rPr>
        <w:t>13.1. Comete infração administrativa nos termos da Lei nº 10.520, de 2002, a Contratada que:</w:t>
      </w:r>
    </w:p>
    <w:p>
      <w:pPr>
        <w:pStyle w:val="Normal"/>
        <w:spacing w:lineRule="auto" w:line="276" w:before="120" w:after="120"/>
        <w:ind w:left="1134" w:right="0" w:hanging="0"/>
        <w:jc w:val="both"/>
        <w:rPr>
          <w:rFonts w:cs="Arial"/>
          <w:szCs w:val="20"/>
        </w:rPr>
      </w:pPr>
      <w:r>
        <w:rPr>
          <w:rFonts w:cs="Arial" w:ascii="Arial" w:hAnsi="Arial"/>
          <w:sz w:val="22"/>
          <w:szCs w:val="22"/>
        </w:rPr>
        <w:t>13.1.1. inexecutar total ou parcialmente qualquer das obrigações assumidas em decorrência da contratação;</w:t>
      </w:r>
    </w:p>
    <w:p>
      <w:pPr>
        <w:pStyle w:val="Normal"/>
        <w:spacing w:lineRule="auto" w:line="276" w:before="120" w:after="120"/>
        <w:ind w:left="1134" w:right="0" w:hanging="0"/>
        <w:jc w:val="both"/>
        <w:rPr>
          <w:rFonts w:cs="Arial"/>
          <w:szCs w:val="20"/>
        </w:rPr>
      </w:pPr>
      <w:r>
        <w:rPr>
          <w:rFonts w:cs="Arial" w:ascii="Arial" w:hAnsi="Arial"/>
          <w:sz w:val="22"/>
          <w:szCs w:val="22"/>
        </w:rPr>
        <w:t>13.1.2. ensejar o retardamento da execução do objeto;</w:t>
      </w:r>
    </w:p>
    <w:p>
      <w:pPr>
        <w:pStyle w:val="Normal"/>
        <w:spacing w:lineRule="auto" w:line="276" w:before="120" w:after="120"/>
        <w:ind w:left="1134" w:right="0" w:hanging="0"/>
        <w:jc w:val="both"/>
        <w:rPr>
          <w:rFonts w:cs="Arial"/>
          <w:szCs w:val="20"/>
        </w:rPr>
      </w:pPr>
      <w:r>
        <w:rPr>
          <w:rFonts w:cs="Arial" w:ascii="Arial" w:hAnsi="Arial"/>
          <w:sz w:val="22"/>
          <w:szCs w:val="22"/>
        </w:rPr>
        <w:t>13.1.3. falhar ou fraudar na execução do contrato;</w:t>
      </w:r>
    </w:p>
    <w:p>
      <w:pPr>
        <w:pStyle w:val="Normal"/>
        <w:spacing w:lineRule="auto" w:line="276" w:before="120" w:after="120"/>
        <w:ind w:left="1134" w:right="0" w:hanging="0"/>
        <w:jc w:val="both"/>
        <w:rPr>
          <w:rFonts w:cs="Arial"/>
          <w:szCs w:val="20"/>
        </w:rPr>
      </w:pPr>
      <w:r>
        <w:rPr>
          <w:rFonts w:cs="Arial" w:ascii="Arial" w:hAnsi="Arial"/>
          <w:sz w:val="22"/>
          <w:szCs w:val="22"/>
        </w:rPr>
        <w:t>13.1.4. comportar-se de modo inidôneo;</w:t>
      </w:r>
    </w:p>
    <w:p>
      <w:pPr>
        <w:pStyle w:val="Normal"/>
        <w:spacing w:lineRule="auto" w:line="276" w:before="120" w:after="120"/>
        <w:ind w:left="1134" w:right="0" w:hanging="0"/>
        <w:jc w:val="both"/>
        <w:rPr>
          <w:rFonts w:cs="Arial"/>
          <w:szCs w:val="20"/>
        </w:rPr>
      </w:pPr>
      <w:r>
        <w:rPr>
          <w:rFonts w:cs="Arial" w:ascii="Arial" w:hAnsi="Arial"/>
          <w:sz w:val="22"/>
          <w:szCs w:val="22"/>
        </w:rPr>
        <w:t>13.1.5. cometer fraude fiscal;</w:t>
      </w:r>
    </w:p>
    <w:p>
      <w:pPr>
        <w:pStyle w:val="ListParagraph"/>
        <w:spacing w:lineRule="auto" w:line="276" w:before="120" w:after="120"/>
        <w:ind w:left="716" w:right="0" w:hanging="432"/>
        <w:contextualSpacing/>
        <w:jc w:val="both"/>
        <w:rPr>
          <w:rFonts w:cs="Arial"/>
          <w:szCs w:val="20"/>
        </w:rPr>
      </w:pPr>
      <w:r>
        <w:rPr>
          <w:rFonts w:cs="Arial" w:ascii="Arial" w:hAnsi="Arial"/>
          <w:sz w:val="22"/>
          <w:szCs w:val="22"/>
        </w:rPr>
        <w:t xml:space="preserve">13.2. Pela inexecução </w:t>
      </w:r>
      <w:r>
        <w:rPr>
          <w:rFonts w:cs="Arial" w:ascii="Arial" w:hAnsi="Arial"/>
          <w:sz w:val="22"/>
          <w:szCs w:val="22"/>
          <w:u w:val="single"/>
        </w:rPr>
        <w:t>total ou parcial</w:t>
      </w:r>
      <w:r>
        <w:rPr>
          <w:rFonts w:cs="Arial" w:ascii="Arial" w:hAnsi="Arial"/>
          <w:sz w:val="22"/>
          <w:szCs w:val="22"/>
        </w:rPr>
        <w:t xml:space="preserve"> do objeto deste contrato, a Administração pode aplicar à CONTRATADA as seguintes sanções:</w:t>
      </w:r>
    </w:p>
    <w:p>
      <w:pPr>
        <w:pStyle w:val="Normal"/>
        <w:spacing w:lineRule="auto" w:line="276" w:before="120" w:after="120"/>
        <w:ind w:left="1134" w:right="0" w:hanging="0"/>
        <w:jc w:val="both"/>
        <w:rPr>
          <w:rFonts w:cs="Arial"/>
          <w:szCs w:val="20"/>
        </w:rPr>
      </w:pPr>
      <w:r>
        <w:rPr>
          <w:rFonts w:cs="Arial" w:ascii="Arial" w:hAnsi="Arial"/>
          <w:sz w:val="22"/>
          <w:szCs w:val="22"/>
        </w:rPr>
        <w:t>13.2.1. Advertência, por faltas leves, assim entendidas aquelas que não acarretem prejuízos significativos para a Contratante;</w:t>
      </w:r>
    </w:p>
    <w:p>
      <w:pPr>
        <w:pStyle w:val="Normal"/>
        <w:spacing w:lineRule="auto" w:line="276" w:before="120" w:after="120"/>
        <w:ind w:left="1134" w:right="0" w:hanging="0"/>
        <w:jc w:val="both"/>
        <w:rPr>
          <w:rFonts w:cs="Arial"/>
          <w:szCs w:val="20"/>
        </w:rPr>
      </w:pPr>
      <w:r>
        <w:rPr>
          <w:rFonts w:cs="Arial" w:ascii="Arial" w:hAnsi="Arial"/>
          <w:sz w:val="22"/>
          <w:szCs w:val="22"/>
        </w:rPr>
        <w:t>13.2.2. multa moratória de</w:t>
      </w:r>
      <w:r>
        <w:rPr>
          <w:rFonts w:cs="Arial" w:ascii="Arial" w:hAnsi="Arial"/>
          <w:color w:val="000000"/>
          <w:sz w:val="22"/>
          <w:szCs w:val="22"/>
        </w:rPr>
        <w:t xml:space="preserve"> 0,25% (zero vírgula vinte e cinco por cento) </w:t>
      </w:r>
      <w:r>
        <w:rPr>
          <w:rFonts w:cs="Arial" w:ascii="Arial" w:hAnsi="Arial"/>
          <w:sz w:val="22"/>
          <w:szCs w:val="22"/>
        </w:rPr>
        <w:t>por dia de atraso injustificado sobre o valor da parcela inadimplida, até o limite de 180 (cento e oitenta) dias;</w:t>
      </w:r>
    </w:p>
    <w:p>
      <w:pPr>
        <w:pStyle w:val="Normal"/>
        <w:spacing w:lineRule="auto" w:line="276" w:before="120" w:after="120"/>
        <w:ind w:left="1134" w:right="0" w:hanging="0"/>
        <w:jc w:val="both"/>
        <w:rPr>
          <w:rFonts w:cs="Arial"/>
          <w:szCs w:val="20"/>
        </w:rPr>
      </w:pPr>
      <w:r>
        <w:rPr>
          <w:rFonts w:cs="Arial" w:ascii="Arial" w:hAnsi="Arial"/>
          <w:sz w:val="22"/>
          <w:szCs w:val="22"/>
        </w:rPr>
        <w:t>13.2.3. multa co</w:t>
      </w:r>
      <w:r>
        <w:rPr>
          <w:rFonts w:cs="Arial" w:ascii="Arial" w:hAnsi="Arial"/>
          <w:color w:val="000000"/>
          <w:sz w:val="22"/>
          <w:szCs w:val="22"/>
        </w:rPr>
        <w:t xml:space="preserve">mpensatória de 10%  (dez por cento) </w:t>
      </w:r>
      <w:r>
        <w:rPr>
          <w:rFonts w:cs="Arial" w:ascii="Arial" w:hAnsi="Arial"/>
          <w:sz w:val="22"/>
          <w:szCs w:val="22"/>
        </w:rPr>
        <w:t>sobre o valor total do contrato, no caso de inexecução total do objeto;</w:t>
      </w:r>
    </w:p>
    <w:p>
      <w:pPr>
        <w:pStyle w:val="Normal"/>
        <w:spacing w:lineRule="auto" w:line="276" w:before="120" w:after="120"/>
        <w:ind w:left="1134" w:right="0" w:hanging="0"/>
        <w:jc w:val="both"/>
        <w:rPr>
          <w:rFonts w:cs="Arial"/>
          <w:szCs w:val="20"/>
        </w:rPr>
      </w:pPr>
      <w:r>
        <w:rPr>
          <w:rFonts w:cs="Arial" w:ascii="Arial" w:hAnsi="Arial"/>
          <w:sz w:val="22"/>
          <w:szCs w:val="22"/>
        </w:rPr>
        <w:t>13.2.4. em caso de inexecução parcial, a multa compensatória, no mesmo percentual do subitem acima, será aplicada de forma proporcional à obrigação inadimplida;</w:t>
      </w:r>
    </w:p>
    <w:p>
      <w:pPr>
        <w:pStyle w:val="Normal"/>
        <w:spacing w:lineRule="auto" w:line="276" w:before="120" w:after="120"/>
        <w:ind w:left="1134" w:right="0" w:hanging="0"/>
        <w:jc w:val="both"/>
        <w:rPr>
          <w:rFonts w:cs="Arial"/>
          <w:szCs w:val="20"/>
        </w:rPr>
      </w:pPr>
      <w:r>
        <w:rPr>
          <w:rFonts w:cs="Arial" w:ascii="Arial" w:hAnsi="Arial"/>
          <w:sz w:val="22"/>
          <w:szCs w:val="22"/>
        </w:rPr>
        <w:t xml:space="preserve">13.2.5. suspensão de licitar e impedimento de contratar com o órgão, entidade ou unidade administrativa pela qual a Administração Pública opera e atua concretamente, pelo prazo de até dois anos; </w:t>
      </w:r>
    </w:p>
    <w:p>
      <w:pPr>
        <w:pStyle w:val="Normal"/>
        <w:spacing w:lineRule="auto" w:line="276" w:before="120" w:after="120"/>
        <w:ind w:left="1134" w:right="0" w:hanging="0"/>
        <w:jc w:val="both"/>
        <w:rPr>
          <w:rFonts w:cs="Arial"/>
          <w:szCs w:val="20"/>
        </w:rPr>
      </w:pPr>
      <w:r>
        <w:rPr>
          <w:rFonts w:cs="Arial" w:ascii="Arial" w:hAnsi="Arial"/>
          <w:sz w:val="22"/>
          <w:szCs w:val="22"/>
        </w:rPr>
        <w:t>13.2.6. impedimento de licitar e contratar com órgãos e entidades da União com o consequente descredenciamento no SICAF pelo prazo de até cinco anos;</w:t>
      </w:r>
    </w:p>
    <w:p>
      <w:pPr>
        <w:pStyle w:val="PargrafodaLista1"/>
        <w:spacing w:lineRule="auto" w:line="276" w:before="120" w:after="120"/>
        <w:ind w:left="2491" w:right="0" w:hanging="648"/>
        <w:jc w:val="both"/>
        <w:rPr>
          <w:rFonts w:ascii="Arial" w:hAnsi="Arial" w:cs="Arial"/>
          <w:sz w:val="20"/>
          <w:szCs w:val="20"/>
        </w:rPr>
      </w:pPr>
      <w:r>
        <w:rPr>
          <w:rFonts w:cs="Arial" w:ascii="Arial" w:hAnsi="Arial"/>
          <w:sz w:val="22"/>
          <w:szCs w:val="22"/>
        </w:rPr>
        <w:t>13.2.6.1. A Sanção de impedimento de licitar e contratar prevista neste subitem também é aplicável em quaisquer das hipóteses previstas como infração administrativa no subitem 14.1 deste Termo de Referência.</w:t>
      </w:r>
    </w:p>
    <w:p>
      <w:pPr>
        <w:pStyle w:val="Normal"/>
        <w:spacing w:lineRule="auto" w:line="276" w:before="120" w:after="120"/>
        <w:ind w:left="1134" w:right="0" w:hanging="0"/>
        <w:jc w:val="both"/>
        <w:rPr>
          <w:rFonts w:cs="Arial"/>
          <w:szCs w:val="20"/>
        </w:rPr>
      </w:pPr>
      <w:r>
        <w:rPr>
          <w:rFonts w:cs="Arial" w:ascii="Arial" w:hAnsi="Arial"/>
          <w:sz w:val="22"/>
          <w:szCs w:val="22"/>
        </w:rPr>
        <w:t>13.2.7.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716" w:right="0" w:hanging="432"/>
        <w:jc w:val="both"/>
        <w:rPr>
          <w:rFonts w:cs="Arial"/>
          <w:szCs w:val="20"/>
        </w:rPr>
      </w:pPr>
      <w:r>
        <w:rPr>
          <w:rFonts w:cs="Arial" w:ascii="Arial" w:hAnsi="Arial"/>
          <w:sz w:val="22"/>
          <w:szCs w:val="22"/>
        </w:rPr>
        <w:t>13.3. As sanções previstas nos subitens 14.2.1, 14.2.5, 14.2.6 e 14.2.7 poderão ser aplicadas à CONTRATADA juntamente com as de multa, descontando-a dos pagamentos a serem efetuados.</w:t>
      </w:r>
    </w:p>
    <w:p>
      <w:pPr>
        <w:pStyle w:val="Normal"/>
        <w:spacing w:lineRule="auto" w:line="276" w:before="120" w:after="120"/>
        <w:ind w:left="425" w:right="0" w:hanging="0"/>
        <w:jc w:val="both"/>
        <w:rPr>
          <w:rFonts w:cs="Arial"/>
          <w:szCs w:val="20"/>
        </w:rPr>
      </w:pPr>
      <w:r>
        <w:rPr>
          <w:rFonts w:cs="Arial" w:ascii="Arial" w:hAnsi="Arial"/>
          <w:sz w:val="22"/>
          <w:szCs w:val="22"/>
        </w:rPr>
        <w:t>13.4. Também ficam sujeitas às penalidades do art. 87, III e IV da Lei nº 8.666, de 1993, as empresas ou profissionais que:</w:t>
      </w:r>
    </w:p>
    <w:p>
      <w:pPr>
        <w:pStyle w:val="Normal"/>
        <w:spacing w:lineRule="auto" w:line="276" w:before="120" w:after="120"/>
        <w:ind w:left="1134" w:right="0" w:hanging="0"/>
        <w:jc w:val="both"/>
        <w:rPr>
          <w:rFonts w:cs="Arial"/>
          <w:szCs w:val="20"/>
        </w:rPr>
      </w:pPr>
      <w:r>
        <w:rPr>
          <w:rFonts w:cs="Arial" w:ascii="Arial" w:hAnsi="Arial"/>
          <w:sz w:val="22"/>
          <w:szCs w:val="22"/>
        </w:rPr>
        <w:t>13.4.1. tenham sofrido condenação definitiva por praticar, por meio dolosos, fraude fiscal no recolhimento de quaisquer tributos;</w:t>
      </w:r>
    </w:p>
    <w:p>
      <w:pPr>
        <w:pStyle w:val="Normal"/>
        <w:spacing w:lineRule="auto" w:line="276" w:before="120" w:after="120"/>
        <w:ind w:left="1134" w:right="0" w:hanging="0"/>
        <w:jc w:val="both"/>
        <w:rPr>
          <w:rFonts w:cs="Arial"/>
          <w:szCs w:val="20"/>
        </w:rPr>
      </w:pPr>
      <w:r>
        <w:rPr>
          <w:rFonts w:cs="Arial" w:ascii="Arial" w:hAnsi="Arial"/>
          <w:sz w:val="22"/>
          <w:szCs w:val="22"/>
        </w:rPr>
        <w:t>13.4.2. tenham praticado atos ilícitos visando a frustrar os objetivos da licitação;</w:t>
      </w:r>
    </w:p>
    <w:p>
      <w:pPr>
        <w:pStyle w:val="Normal"/>
        <w:widowControl/>
        <w:bidi w:val="0"/>
        <w:spacing w:lineRule="auto" w:line="276" w:before="240" w:after="120"/>
        <w:ind w:left="1191" w:right="0" w:hanging="283"/>
        <w:jc w:val="both"/>
        <w:rPr>
          <w:rFonts w:cs="Arial"/>
          <w:szCs w:val="20"/>
        </w:rPr>
      </w:pPr>
      <w:r>
        <w:rPr>
          <w:rFonts w:cs="Arial" w:ascii="Arial" w:hAnsi="Arial"/>
          <w:sz w:val="22"/>
          <w:szCs w:val="22"/>
        </w:rPr>
        <w:t>13.4.3. demonstrem não possuir idoneidade para contratar com a Administração em virtude de atos ilícitos praticados.</w:t>
      </w:r>
    </w:p>
    <w:p>
      <w:pPr>
        <w:pStyle w:val="Normal"/>
        <w:spacing w:lineRule="auto" w:line="276" w:before="120" w:after="120"/>
        <w:ind w:left="425" w:right="0" w:hanging="0"/>
        <w:jc w:val="both"/>
        <w:rPr>
          <w:rFonts w:cs="Arial"/>
          <w:szCs w:val="20"/>
        </w:rPr>
      </w:pPr>
      <w:r>
        <w:rPr>
          <w:rFonts w:cs="Arial" w:ascii="Arial" w:hAnsi="Arial"/>
          <w:sz w:val="22"/>
          <w:szCs w:val="22"/>
        </w:rPr>
        <w:t>13.5.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widowControl/>
        <w:suppressAutoHyphens w:val="true"/>
        <w:overflowPunct w:val="true"/>
        <w:bidi w:val="0"/>
        <w:spacing w:lineRule="auto" w:line="276" w:before="120" w:after="120"/>
        <w:ind w:left="454" w:right="0" w:hanging="0"/>
        <w:jc w:val="both"/>
        <w:rPr>
          <w:szCs w:val="20"/>
        </w:rPr>
      </w:pPr>
      <w:r>
        <w:rPr>
          <w:rFonts w:ascii="Arial" w:hAnsi="Arial"/>
          <w:sz w:val="22"/>
          <w:szCs w:val="22"/>
        </w:rPr>
        <w:t>13.6.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widowControl/>
        <w:suppressAutoHyphens w:val="true"/>
        <w:overflowPunct w:val="true"/>
        <w:bidi w:val="0"/>
        <w:spacing w:lineRule="auto" w:line="276" w:before="120" w:after="120"/>
        <w:ind w:left="1191" w:right="0" w:hanging="57"/>
        <w:jc w:val="both"/>
        <w:rPr>
          <w:color w:val="000000"/>
          <w:szCs w:val="20"/>
        </w:rPr>
      </w:pPr>
      <w:r>
        <w:rPr>
          <w:rFonts w:ascii="Arial" w:hAnsi="Arial"/>
          <w:sz w:val="22"/>
          <w:szCs w:val="22"/>
        </w:rPr>
        <w:t>13.6.1. Caso a Contratante determine, a multa deverá ser recolhida no prazo máximo d</w:t>
      </w:r>
      <w:r>
        <w:rPr>
          <w:rFonts w:ascii="Arial" w:hAnsi="Arial"/>
          <w:color w:val="000000"/>
          <w:sz w:val="22"/>
          <w:szCs w:val="22"/>
        </w:rPr>
        <w:t>e 30 (trinta) dias, a contar da data do recebimento da comunicação enviada pela autoridade competente.</w:t>
      </w:r>
    </w:p>
    <w:p>
      <w:pPr>
        <w:pStyle w:val="Normal"/>
        <w:spacing w:lineRule="auto" w:line="276" w:before="120" w:after="120"/>
        <w:ind w:left="716" w:right="0" w:hanging="432"/>
        <w:jc w:val="both"/>
        <w:rPr>
          <w:rFonts w:cs="Arial"/>
          <w:szCs w:val="20"/>
        </w:rPr>
      </w:pPr>
      <w:r>
        <w:rPr>
          <w:rFonts w:cs="Arial" w:ascii="Arial" w:hAnsi="Arial"/>
          <w:sz w:val="22"/>
          <w:szCs w:val="22"/>
        </w:rPr>
        <w:t>13.7.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0" w:hanging="432"/>
        <w:jc w:val="both"/>
        <w:rPr>
          <w:rFonts w:ascii="Arial" w:hAnsi="Arial"/>
          <w:sz w:val="22"/>
          <w:szCs w:val="22"/>
        </w:rPr>
      </w:pPr>
      <w:r>
        <w:rPr>
          <w:rFonts w:ascii="Arial" w:hAnsi="Arial"/>
          <w:sz w:val="22"/>
          <w:szCs w:val="22"/>
        </w:rPr>
        <w:t>13.8. A autoridade competente, na aplicação das sanções, levará em consideração a gravidade da conduta do infrator, o caráter educativo da pena, bem como o dano causado à Administração, observado o princípio da proporcionalidade.</w:t>
      </w:r>
    </w:p>
    <w:p>
      <w:pPr>
        <w:pStyle w:val="Nivel2"/>
        <w:rPr>
          <w:rFonts w:ascii="Arial" w:hAnsi="Arial" w:cs="Arial"/>
        </w:rPr>
      </w:pPr>
      <w:r>
        <w:rPr>
          <w:rFonts w:cs="Arial" w:ascii="Arial" w:hAnsi="Arial"/>
          <w:sz w:val="22"/>
          <w:szCs w:val="22"/>
        </w:rPr>
        <w:t xml:space="preserve">13.9.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rPr>
          <w:rFonts w:ascii="Arial" w:hAnsi="Arial" w:cs="Arial"/>
        </w:rPr>
      </w:pPr>
      <w:r>
        <w:rPr>
          <w:rFonts w:cs="Arial" w:ascii="Arial" w:hAnsi="Arial"/>
          <w:sz w:val="22"/>
          <w:szCs w:val="22"/>
        </w:rPr>
        <w:t>13.10.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rPr>
          <w:rFonts w:ascii="Arial" w:hAnsi="Arial" w:cs="Arial"/>
        </w:rPr>
      </w:pPr>
      <w:r>
        <w:rPr>
          <w:rFonts w:cs="Arial" w:ascii="Arial" w:hAnsi="Arial"/>
          <w:sz w:val="22"/>
          <w:szCs w:val="22"/>
        </w:rPr>
        <w:t xml:space="preserve">13.11.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suppressAutoHyphens w:val="true"/>
        <w:overflowPunct w:val="true"/>
        <w:bidi w:val="0"/>
        <w:spacing w:lineRule="auto" w:line="276" w:before="120" w:after="120"/>
        <w:ind w:left="0" w:right="0" w:hanging="0"/>
        <w:jc w:val="both"/>
        <w:rPr>
          <w:rFonts w:cs="Arial"/>
          <w:szCs w:val="20"/>
        </w:rPr>
      </w:pPr>
      <w:r>
        <w:rPr>
          <w:rFonts w:cs="Arial" w:ascii="Arial" w:hAnsi="Arial"/>
          <w:sz w:val="22"/>
          <w:szCs w:val="22"/>
        </w:rPr>
        <w:t>13.12. As penalidades serão obrigatoriamente registradas no SICAF.</w:t>
      </w:r>
    </w:p>
    <w:p>
      <w:pPr>
        <w:pStyle w:val="Nivel1"/>
        <w:spacing w:before="120" w:after="120"/>
        <w:ind w:left="357" w:right="0" w:hanging="0"/>
        <w:rPr>
          <w:rFonts w:ascii="Arial" w:hAnsi="Arial"/>
          <w:bCs/>
          <w:sz w:val="22"/>
          <w:szCs w:val="22"/>
        </w:rPr>
      </w:pPr>
      <w:r>
        <w:rPr>
          <w:rFonts w:ascii="Arial" w:hAnsi="Arial"/>
          <w:bCs/>
          <w:sz w:val="22"/>
          <w:szCs w:val="22"/>
        </w:rPr>
      </w:r>
    </w:p>
    <w:p>
      <w:pPr>
        <w:pStyle w:val="Nivel1"/>
        <w:keepNext/>
        <w:keepLines/>
        <w:widowControl/>
        <w:suppressAutoHyphens w:val="true"/>
        <w:overflowPunct w:val="true"/>
        <w:bidi w:val="0"/>
        <w:spacing w:lineRule="auto" w:line="276" w:before="120" w:after="120"/>
        <w:ind w:left="0" w:right="0" w:hanging="0"/>
        <w:jc w:val="both"/>
        <w:rPr>
          <w:bCs/>
        </w:rPr>
      </w:pPr>
      <w:r>
        <w:rPr>
          <w:rFonts w:ascii="Arial" w:hAnsi="Arial"/>
          <w:bCs/>
          <w:sz w:val="22"/>
          <w:szCs w:val="22"/>
        </w:rPr>
        <w:t xml:space="preserve">14. ESTIMATIVA DE </w:t>
      </w:r>
      <w:r>
        <w:rPr>
          <w:rFonts w:ascii="Arial" w:hAnsi="Arial"/>
          <w:sz w:val="22"/>
          <w:szCs w:val="22"/>
        </w:rPr>
        <w:t>PREÇOS</w:t>
      </w:r>
      <w:r>
        <w:rPr>
          <w:rFonts w:ascii="Arial" w:hAnsi="Arial"/>
          <w:bCs/>
          <w:sz w:val="22"/>
          <w:szCs w:val="22"/>
        </w:rPr>
        <w:t xml:space="preserve"> E PREÇOS REFERENCIAIS.</w:t>
      </w:r>
    </w:p>
    <w:p>
      <w:pPr>
        <w:pStyle w:val="Normal"/>
        <w:spacing w:lineRule="auto" w:line="276" w:before="120" w:after="120"/>
        <w:ind w:left="0" w:right="0" w:hanging="0"/>
        <w:jc w:val="both"/>
        <w:rPr>
          <w:rFonts w:ascii="Arial" w:hAnsi="Arial"/>
          <w:b/>
          <w:b/>
          <w:i/>
          <w:i/>
          <w:color w:val="FF0000"/>
          <w:sz w:val="22"/>
          <w:szCs w:val="22"/>
          <w:u w:val="single"/>
          <w:shd w:fill="FFFF00" w:val="clear"/>
        </w:rPr>
      </w:pPr>
      <w:r>
        <w:rPr>
          <w:rFonts w:ascii="Arial" w:hAnsi="Arial"/>
          <w:b/>
          <w:i/>
          <w:color w:val="FF0000"/>
          <w:sz w:val="22"/>
          <w:szCs w:val="22"/>
          <w:u w:val="single"/>
          <w:shd w:fill="FFFF00" w:val="clear"/>
        </w:rPr>
      </w:r>
    </w:p>
    <w:p>
      <w:pPr>
        <w:pStyle w:val="Nivel1"/>
        <w:keepNext/>
        <w:keepLines/>
        <w:widowControl/>
        <w:suppressAutoHyphens w:val="true"/>
        <w:overflowPunct w:val="true"/>
        <w:bidi w:val="0"/>
        <w:spacing w:lineRule="auto" w:line="276" w:before="120" w:after="120"/>
        <w:ind w:left="0" w:right="0" w:hanging="0"/>
        <w:jc w:val="both"/>
        <w:rPr>
          <w:rFonts w:ascii="Arial" w:hAnsi="Arial"/>
          <w:sz w:val="22"/>
          <w:szCs w:val="22"/>
        </w:rPr>
      </w:pPr>
      <w:r>
        <w:rPr>
          <w:rFonts w:ascii="Arial" w:hAnsi="Arial"/>
          <w:b w:val="false"/>
          <w:i w:val="false"/>
          <w:iCs w:val="false"/>
          <w:color w:val="000000"/>
          <w:sz w:val="22"/>
          <w:szCs w:val="22"/>
          <w:shd w:fill="FFFFFF" w:val="clear"/>
        </w:rPr>
        <w:t xml:space="preserve">14.1. O custo estimado da contratação é de R$ 251.205,00. </w:t>
      </w:r>
    </w:p>
    <w:p>
      <w:pPr>
        <w:pStyle w:val="Normal"/>
        <w:rPr>
          <w:rFonts w:ascii="Arial" w:hAnsi="Arial"/>
          <w:sz w:val="22"/>
          <w:szCs w:val="22"/>
        </w:rPr>
      </w:pPr>
      <w:r>
        <w:rPr>
          <w:rFonts w:ascii="Arial" w:hAnsi="Arial"/>
          <w:sz w:val="22"/>
          <w:szCs w:val="22"/>
        </w:rPr>
      </w:r>
    </w:p>
    <w:p>
      <w:pPr>
        <w:pStyle w:val="Nivel1"/>
        <w:keepNext/>
        <w:keepLines/>
        <w:widowControl/>
        <w:numPr>
          <w:ilvl w:val="0"/>
          <w:numId w:val="0"/>
        </w:numPr>
        <w:suppressAutoHyphens w:val="true"/>
        <w:overflowPunct w:val="true"/>
        <w:bidi w:val="0"/>
        <w:spacing w:lineRule="auto" w:line="276" w:before="120" w:after="120"/>
        <w:ind w:left="0" w:right="0" w:hanging="0"/>
        <w:jc w:val="both"/>
        <w:rPr>
          <w:rFonts w:ascii="Arial" w:hAnsi="Arial"/>
          <w:sz w:val="22"/>
          <w:szCs w:val="22"/>
        </w:rPr>
      </w:pPr>
      <w:r>
        <w:rPr>
          <w:rFonts w:ascii="Arial" w:hAnsi="Arial"/>
          <w:sz w:val="22"/>
          <w:szCs w:val="22"/>
        </w:rPr>
        <w:t>15. DOS RECURSOS ORÇAMENTÁRIOS.</w:t>
      </w:r>
    </w:p>
    <w:p>
      <w:pPr>
        <w:pStyle w:val="ListParagraph"/>
        <w:widowControl/>
        <w:numPr>
          <w:ilvl w:val="0"/>
          <w:numId w:val="0"/>
        </w:numPr>
        <w:suppressAutoHyphens w:val="true"/>
        <w:overflowPunct w:val="true"/>
        <w:bidi w:val="0"/>
        <w:spacing w:lineRule="auto" w:line="276" w:before="120" w:after="120"/>
        <w:ind w:left="227" w:right="0" w:hanging="0"/>
        <w:contextualSpacing/>
        <w:jc w:val="both"/>
        <w:rPr>
          <w:color w:val="3333FF"/>
          <w:szCs w:val="20"/>
        </w:rPr>
      </w:pPr>
      <w:r>
        <w:rPr>
          <w:rFonts w:ascii="Arial" w:hAnsi="Arial"/>
          <w:color w:val="000000"/>
          <w:sz w:val="22"/>
          <w:szCs w:val="22"/>
        </w:rPr>
        <w:t>15.1. Por ser uma aquisição por registro de preços, não há a necessidade de incluir as dotações orçamentárias.</w:t>
      </w:r>
    </w:p>
    <w:p>
      <w:pPr>
        <w:pStyle w:val="Normal"/>
        <w:spacing w:lineRule="auto" w:line="276" w:before="120" w:after="120"/>
        <w:ind w:left="425" w:right="0" w:hanging="0"/>
        <w:jc w:val="both"/>
        <w:rPr>
          <w:rFonts w:ascii="Arial" w:hAnsi="Arial" w:cs="Arial"/>
          <w:i/>
          <w:i/>
          <w:sz w:val="22"/>
          <w:szCs w:val="22"/>
        </w:rPr>
      </w:pPr>
      <w:r>
        <w:rPr>
          <w:rFonts w:cs="Arial" w:ascii="Arial" w:hAnsi="Arial"/>
          <w:i/>
          <w:sz w:val="22"/>
          <w:szCs w:val="22"/>
        </w:rPr>
      </w:r>
    </w:p>
    <w:p>
      <w:pPr>
        <w:pStyle w:val="Normal"/>
        <w:spacing w:lineRule="auto" w:line="276" w:before="120" w:after="120"/>
        <w:ind w:left="425" w:right="0" w:hanging="0"/>
        <w:jc w:val="center"/>
        <w:rPr>
          <w:rFonts w:ascii="Arial" w:hAnsi="Arial"/>
          <w:sz w:val="22"/>
          <w:szCs w:val="22"/>
        </w:rPr>
      </w:pPr>
      <w:r>
        <w:rPr>
          <w:rFonts w:cs="Arial" w:ascii="Arial" w:hAnsi="Arial"/>
          <w:i w:val="false"/>
          <w:iCs w:val="false"/>
          <w:sz w:val="22"/>
          <w:szCs w:val="22"/>
        </w:rPr>
        <w:t>Maceió, 21 de maio de 2020.</w:t>
      </w:r>
    </w:p>
    <w:p>
      <w:pPr>
        <w:pStyle w:val="Normal"/>
        <w:spacing w:lineRule="auto" w:line="276" w:before="120" w:after="120"/>
        <w:ind w:left="425" w:right="0" w:hanging="0"/>
        <w:jc w:val="both"/>
        <w:rPr>
          <w:rFonts w:ascii="Arial" w:hAnsi="Arial" w:cs="Arial"/>
          <w:i w:val="false"/>
          <w:i w:val="false"/>
          <w:iCs w:val="false"/>
          <w:sz w:val="22"/>
          <w:szCs w:val="22"/>
        </w:rPr>
      </w:pPr>
      <w:r>
        <w:rPr>
          <w:rFonts w:cs="Arial" w:ascii="Arial" w:hAnsi="Arial"/>
          <w:i w:val="false"/>
          <w:iCs w:val="false"/>
          <w:sz w:val="22"/>
          <w:szCs w:val="22"/>
        </w:rPr>
      </w:r>
    </w:p>
    <w:p>
      <w:pPr>
        <w:pStyle w:val="Normal"/>
        <w:bidi w:val="0"/>
        <w:spacing w:before="0" w:after="0"/>
        <w:ind w:left="360" w:right="0" w:hanging="0"/>
        <w:contextualSpacing/>
        <w:jc w:val="center"/>
        <w:rPr>
          <w:rFonts w:cs="Arial"/>
          <w:szCs w:val="20"/>
        </w:rPr>
      </w:pPr>
      <w:r>
        <w:rPr>
          <w:rFonts w:cs="Arial" w:ascii="Arial" w:hAnsi="Arial"/>
          <w:sz w:val="22"/>
          <w:szCs w:val="22"/>
        </w:rPr>
        <w:t>__________________________________</w:t>
      </w:r>
    </w:p>
    <w:p>
      <w:pPr>
        <w:pStyle w:val="Normal"/>
        <w:bidi w:val="0"/>
        <w:spacing w:lineRule="auto" w:line="276" w:before="0" w:after="0"/>
        <w:ind w:left="360" w:right="0" w:hanging="0"/>
        <w:contextualSpacing/>
        <w:jc w:val="center"/>
        <w:rPr>
          <w:rFonts w:cs="Arial"/>
          <w:szCs w:val="20"/>
        </w:rPr>
      </w:pPr>
      <w:r>
        <w:rPr>
          <w:rFonts w:cs="Arial" w:ascii="Arial" w:hAnsi="Arial"/>
          <w:b/>
          <w:bCs/>
          <w:sz w:val="22"/>
          <w:szCs w:val="22"/>
        </w:rPr>
        <w:t xml:space="preserve">Elisângela Patrícia Maia de Araújo </w:t>
      </w:r>
    </w:p>
    <w:p>
      <w:pPr>
        <w:pStyle w:val="Normal"/>
        <w:bidi w:val="0"/>
        <w:spacing w:lineRule="auto" w:line="276" w:before="0" w:after="0"/>
        <w:ind w:right="0" w:hanging="0"/>
        <w:contextualSpacing/>
        <w:jc w:val="center"/>
        <w:rPr>
          <w:rFonts w:ascii="Arial" w:hAnsi="Arial"/>
          <w:sz w:val="22"/>
          <w:szCs w:val="22"/>
        </w:rPr>
      </w:pPr>
      <w:r>
        <w:rPr>
          <w:rFonts w:cs="Arial" w:ascii="Arial" w:hAnsi="Arial"/>
          <w:sz w:val="22"/>
          <w:szCs w:val="22"/>
        </w:rPr>
        <w:t>Diretora do Biotério Central</w:t>
      </w:r>
    </w:p>
    <w:p>
      <w:pPr>
        <w:pStyle w:val="Normal"/>
        <w:spacing w:before="0" w:after="360"/>
        <w:ind w:left="360" w:right="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sz w:val="22"/>
          <w:szCs w:val="22"/>
        </w:rPr>
      </w:pPr>
      <w:r>
        <w:rPr>
          <w:rFonts w:ascii="Arial" w:hAnsi="Arial"/>
          <w:sz w:val="22"/>
          <w:szCs w:val="22"/>
        </w:rPr>
      </w:r>
    </w:p>
    <w:sectPr>
      <w:footerReference w:type="default" r:id="rId2"/>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sz w:val="12"/>
        <w:szCs w:val="12"/>
      </w:rPr>
    </w:pPr>
    <w:r>
      <w:rPr>
        <w:rFonts w:cs="Arial"/>
        <w:sz w:val="12"/>
        <w:szCs w:val="12"/>
      </w:rPr>
      <w:t>Atualização: Dezembro/2019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16" w:hanging="432"/>
      </w:pPr>
      <w:rPr>
        <w:dstrike w:val="false"/>
        <w:strike w:val="false"/>
        <w:i w:val="false"/>
        <w:b/>
        <w:bCs/>
      </w:rPr>
    </w:lvl>
    <w:lvl w:ilvl="2">
      <w:start w:val="1"/>
      <w:numFmt w:val="decimal"/>
      <w:lvlText w:val="%1.%2.%3."/>
      <w:lvlJc w:val="left"/>
      <w:pPr>
        <w:ind w:left="930" w:hanging="504"/>
      </w:pPr>
      <w:rPr>
        <w:i w:val="false"/>
        <w:b/>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style w:type="paragraph" w:styleId="Normal">
    <w:name w:val="Normal"/>
    <w:qFormat/>
    <w:pPr>
      <w:widowControl/>
      <w:suppressAutoHyphens w:val="true"/>
      <w:overflowPunct w:val="true"/>
      <w:bidi w:val="0"/>
      <w:jc w:val="left"/>
    </w:pPr>
    <w:rPr>
      <w:rFonts w:ascii="Arial" w:hAnsi="Arial" w:eastAsia="Times New Roman" w:cs="Tahoma"/>
      <w:color w:val="00000A"/>
      <w:sz w:val="20"/>
      <w:szCs w:val="24"/>
      <w:lang w:val="pt-BR" w:eastAsia="pt-BR" w:bidi="ar-SA"/>
    </w:rPr>
  </w:style>
  <w:style w:type="paragraph" w:styleId="Ttulo1">
    <w:name w:val="Heading 1"/>
    <w:basedOn w:val="Normal"/>
    <w:next w:val="Normal"/>
    <w:qFormat/>
    <w:pPr>
      <w:keepNext/>
      <w:keepLines/>
      <w:spacing w:before="240" w:after="0"/>
      <w:outlineLvl w:val="0"/>
    </w:pPr>
    <w:rPr>
      <w:rFonts w:ascii="Cambria" w:hAnsi="Cambria" w:eastAsia="ＭＳ ゴシック" w:cs="Times New Roman"/>
      <w:color w:val="365F91"/>
      <w:sz w:val="32"/>
      <w:szCs w:val="32"/>
    </w:rPr>
  </w:style>
  <w:style w:type="paragraph" w:styleId="Ttulo2">
    <w:name w:val="Heading 2"/>
    <w:basedOn w:val="Normal"/>
    <w:next w:val="Normal"/>
    <w:qFormat/>
    <w:pPr>
      <w:keepNext/>
      <w:tabs>
        <w:tab w:val="left" w:pos="1701" w:leader="none"/>
      </w:tabs>
      <w:ind w:left="0" w:right="0" w:hanging="0"/>
      <w:jc w:val="center"/>
      <w:outlineLvl w:val="1"/>
    </w:pPr>
    <w:rPr>
      <w:rFonts w:ascii="Times New Roman" w:hAnsi="Times New Roman" w:cs="Times New Roman"/>
      <w:b/>
      <w:color w:val="000000"/>
      <w:szCs w:val="20"/>
    </w:rPr>
  </w:style>
  <w:style w:type="paragraph" w:styleId="Ttulo3">
    <w:name w:val="Heading 3"/>
    <w:basedOn w:val="Ttulo"/>
    <w:qFormat/>
    <w:pPr/>
    <w:rPr/>
  </w:style>
  <w:style w:type="paragraph" w:styleId="Ttulo4">
    <w:name w:val="Heading 4"/>
    <w:basedOn w:val="Ttulo"/>
    <w:qFormat/>
    <w:pPr/>
    <w:rPr/>
  </w:style>
  <w:style w:type="character" w:styleId="DefaultParagraphFont">
    <w:name w:val="Default Paragraph Font"/>
    <w:qFormat/>
    <w:rPr/>
  </w:style>
  <w:style w:type="character" w:styleId="TextodebaloChar">
    <w:name w:val="Texto de balão Char"/>
    <w:qFormat/>
    <w:rPr>
      <w:rFonts w:ascii="Tahoma" w:hAnsi="Tahoma" w:cs="Tahoma"/>
      <w:sz w:val="16"/>
      <w:szCs w:val="16"/>
    </w:rPr>
  </w:style>
  <w:style w:type="character" w:styleId="Ttulo2Char">
    <w:name w:val="Título 2 Char"/>
    <w:qFormat/>
    <w:rPr>
      <w:b/>
      <w:color w:val="000000"/>
      <w:sz w:val="24"/>
    </w:rPr>
  </w:style>
  <w:style w:type="character" w:styleId="Normalchar1">
    <w:name w:val="normal__char1"/>
    <w:qFormat/>
    <w:rPr>
      <w:rFonts w:ascii="Arial" w:hAnsi="Arial" w:cs="Arial"/>
      <w:strike w:val="false"/>
      <w:dstrike w:val="false"/>
      <w:sz w:val="24"/>
      <w:szCs w:val="24"/>
      <w:u w:val="none"/>
      <w:effect w:val="blinkBackground"/>
    </w:rPr>
  </w:style>
  <w:style w:type="character" w:styleId="Applestylespan">
    <w:name w:val="apple-style-span"/>
    <w:basedOn w:val="DefaultParagraphFont"/>
    <w:qFormat/>
    <w:rPr/>
  </w:style>
  <w:style w:type="character" w:styleId="LinkdaInternet">
    <w:name w:val="Link da Internet"/>
    <w:rPr>
      <w:color w:val="000080"/>
      <w:u w:val="single"/>
      <w:lang w:val="zxx" w:eastAsia="zxx" w:bidi="zxx"/>
    </w:rPr>
  </w:style>
  <w:style w:type="character" w:styleId="CitaoChar">
    <w:name w:val="Citação Char"/>
    <w:qFormat/>
    <w:rPr>
      <w:rFonts w:ascii="Ecofont_Spranq_eco_Sans" w:hAnsi="Ecofont_Spranq_eco_Sans" w:eastAsia="Calibri" w:cs="Tahoma"/>
      <w:i/>
      <w:iCs/>
      <w:color w:val="000000"/>
      <w:szCs w:val="24"/>
      <w:shd w:fill="FFFF00" w:val="clear"/>
      <w:lang w:eastAsia="en-US"/>
    </w:rPr>
  </w:style>
  <w:style w:type="character" w:styleId="Citao2Char">
    <w:name w:val="citação 2 Char"/>
    <w:basedOn w:val="CitaoChar"/>
    <w:qFormat/>
    <w:rPr>
      <w:rFonts w:ascii="Ecofont_Spranq_eco_Sans" w:hAnsi="Ecofont_Spranq_eco_Sans" w:eastAsia="Calibri" w:cs="Tahoma"/>
      <w:i/>
      <w:iCs/>
      <w:color w:val="000000"/>
      <w:szCs w:val="24"/>
      <w:shd w:fill="FFFF00" w:val="clear"/>
      <w:lang w:eastAsia="en-US"/>
    </w:rPr>
  </w:style>
  <w:style w:type="character" w:styleId="GradeColoridanfase1Char">
    <w:name w:val="Grade Colorida - Ênfase 1 Char"/>
    <w:qFormat/>
    <w:rPr>
      <w:rFonts w:ascii="Ecofont_Spranq_eco_Sans" w:hAnsi="Ecofont_Spranq_eco_Sans" w:eastAsia="Calibri"/>
      <w:i/>
      <w:iCs/>
      <w:color w:val="000000"/>
      <w:szCs w:val="24"/>
      <w:shd w:fill="FFFF00" w:val="clear"/>
      <w:lang w:val="x-none" w:eastAsia="en-US"/>
    </w:rPr>
  </w:style>
  <w:style w:type="character" w:styleId="CabealhoChar">
    <w:name w:val="Cabeçalho Char"/>
    <w:basedOn w:val="DefaultParagraphFont"/>
    <w:qFormat/>
    <w:rPr>
      <w:rFonts w:ascii="Ecofont_Spranq_eco_Sans" w:hAnsi="Ecofont_Spranq_eco_Sans" w:cs="Tahoma"/>
      <w:sz w:val="24"/>
      <w:szCs w:val="24"/>
    </w:rPr>
  </w:style>
  <w:style w:type="character" w:styleId="RodapChar">
    <w:name w:val="Rodapé Char"/>
    <w:basedOn w:val="DefaultParagraphFont"/>
    <w:qFormat/>
    <w:rPr>
      <w:rFonts w:ascii="Ecofont_Spranq_eco_Sans" w:hAnsi="Ecofont_Spranq_eco_Sans" w:cs="Tahoma"/>
      <w:sz w:val="24"/>
      <w:szCs w:val="24"/>
    </w:rPr>
  </w:style>
  <w:style w:type="character" w:styleId="Ttulo1Char">
    <w:name w:val="Título 1 Char"/>
    <w:basedOn w:val="DefaultParagraphFont"/>
    <w:qFormat/>
    <w:rPr>
      <w:rFonts w:ascii="Cambria" w:hAnsi="Cambria" w:eastAsia="ＭＳ ゴシック" w:cs="Times New Roman"/>
      <w:color w:val="365F91"/>
      <w:sz w:val="32"/>
      <w:szCs w:val="32"/>
    </w:rPr>
  </w:style>
  <w:style w:type="character" w:styleId="Nivel1Char">
    <w:name w:val="Nivel1 Char"/>
    <w:basedOn w:val="Ttulo1Char"/>
    <w:qFormat/>
    <w:rPr>
      <w:rFonts w:ascii="Arial" w:hAnsi="Arial" w:eastAsia="ＭＳ ゴシック" w:cs="Arial"/>
      <w:b/>
      <w:color w:val="000000"/>
      <w:sz w:val="32"/>
      <w:szCs w:val="32"/>
    </w:rPr>
  </w:style>
  <w:style w:type="character" w:styleId="Annotationreference">
    <w:name w:val="annotation reference"/>
    <w:basedOn w:val="DefaultParagraphFont"/>
    <w:qFormat/>
    <w:rPr>
      <w:sz w:val="18"/>
      <w:szCs w:val="18"/>
    </w:rPr>
  </w:style>
  <w:style w:type="character" w:styleId="TextodecomentrioChar">
    <w:name w:val="Texto de comentário Char"/>
    <w:basedOn w:val="DefaultParagraphFont"/>
    <w:qFormat/>
    <w:rPr>
      <w:rFonts w:ascii="Arial" w:hAnsi="Arial" w:cs="Tahoma"/>
      <w:sz w:val="24"/>
      <w:szCs w:val="24"/>
    </w:rPr>
  </w:style>
  <w:style w:type="character" w:styleId="AssuntodocomentrioChar">
    <w:name w:val="Assunto do comentário Char"/>
    <w:basedOn w:val="TextodecomentrioChar"/>
    <w:qFormat/>
    <w:rPr>
      <w:rFonts w:ascii="Arial" w:hAnsi="Arial" w:cs="Tahoma"/>
      <w:b/>
      <w:bCs/>
      <w:sz w:val="24"/>
      <w:szCs w:val="24"/>
    </w:rPr>
  </w:style>
  <w:style w:type="character" w:styleId="Nivel01Char">
    <w:name w:val="Nivel 01 Char"/>
    <w:basedOn w:val="DefaultParagraphFont"/>
    <w:qFormat/>
    <w:rPr>
      <w:rFonts w:ascii="Ecofont_Spranq_eco_Sans" w:hAnsi="Ecofont_Spranq_eco_Sans" w:eastAsia="ＭＳ ゴシック"/>
      <w:b/>
      <w:bCs/>
      <w:color w:val="000000"/>
    </w:rPr>
  </w:style>
  <w:style w:type="character" w:styleId="Nivel01Char1">
    <w:name w:val="Nivel_01 Char"/>
    <w:basedOn w:val="Ttulo1Char"/>
    <w:qFormat/>
    <w:rPr>
      <w:rFonts w:ascii="Ecofont_Spranq_eco_Sans" w:hAnsi="Ecofont_Spranq_eco_Sans" w:eastAsia="ＭＳ ゴシック" w:cs="Times New Roman"/>
      <w:b/>
      <w:bCs/>
      <w:color w:val="365F91"/>
      <w:sz w:val="32"/>
      <w:szCs w:val="32"/>
    </w:rPr>
  </w:style>
  <w:style w:type="character" w:styleId="Strong">
    <w:name w:val="Strong"/>
    <w:basedOn w:val="DefaultParagraphFont"/>
    <w:qFormat/>
    <w:rPr>
      <w:b/>
      <w:bCs/>
    </w:rPr>
  </w:style>
  <w:style w:type="character" w:styleId="Nfase">
    <w:name w:val="Ênfase"/>
    <w:basedOn w:val="DefaultParagraphFont"/>
    <w:qFormat/>
    <w:rPr>
      <w:i/>
      <w:iCs/>
    </w:rPr>
  </w:style>
  <w:style w:type="character" w:styleId="Nivel2Char">
    <w:name w:val="Nivel 2 Char"/>
    <w:basedOn w:val="DefaultParagraphFont"/>
    <w:qFormat/>
    <w:rPr>
      <w:rFonts w:ascii="Ecofont_Spranq_eco_Sans" w:hAnsi="Ecofont_Spranq_eco_Sans" w:eastAsia="Arial Unicode MS"/>
    </w:rPr>
  </w:style>
  <w:style w:type="character" w:styleId="QuoteChar">
    <w:name w:val="Quote Char"/>
    <w:qFormat/>
    <w:rPr>
      <w:rFonts w:ascii="Ecofont_Spranq_eco_Sans" w:hAnsi="Ecofont_Spranq_eco_Sans" w:cs="Ecofont_Spranq_eco_Sans"/>
      <w:i/>
      <w:iCs/>
      <w:color w:val="000000"/>
      <w:sz w:val="24"/>
      <w:szCs w:val="24"/>
      <w:shd w:fill="FFFF00" w:val="clear"/>
      <w:lang w:eastAsia="en-US"/>
    </w:rPr>
  </w:style>
  <w:style w:type="character" w:styleId="Appleconvertedspace">
    <w:name w:val="apple-converted-space"/>
    <w:basedOn w:val="DefaultParagraphFont"/>
    <w:qFormat/>
    <w:rPr/>
  </w:style>
  <w:style w:type="character" w:styleId="ListLabel1">
    <w:name w:val="ListLabel 1"/>
    <w:qFormat/>
    <w:rPr>
      <w:b/>
      <w:color w:val="00000A"/>
    </w:rPr>
  </w:style>
  <w:style w:type="character" w:styleId="ListLabel2">
    <w:name w:val="ListLabel 2"/>
    <w:qFormat/>
    <w:rPr>
      <w:b/>
      <w:i w:val="false"/>
      <w:strike w:val="false"/>
      <w:dstrike w:val="false"/>
      <w:color w:val="00000A"/>
    </w:rPr>
  </w:style>
  <w:style w:type="character" w:styleId="ListLabel3">
    <w:name w:val="ListLabel 3"/>
    <w:qFormat/>
    <w:rPr>
      <w:b/>
      <w:i w:val="false"/>
      <w:color w:val="00000A"/>
    </w:rPr>
  </w:style>
  <w:style w:type="character" w:styleId="ListLabel4">
    <w:name w:val="ListLabel 4"/>
    <w:qFormat/>
    <w:rPr>
      <w:b/>
      <w:i w:val="false"/>
      <w:strike w:val="false"/>
      <w:dstrike w:val="false"/>
    </w:rPr>
  </w:style>
  <w:style w:type="character" w:styleId="ListLabel5">
    <w:name w:val="ListLabel 5"/>
    <w:qFormat/>
    <w:rPr>
      <w:rFonts w:ascii="Arial" w:hAnsi="Arial"/>
      <w:b w:val="false"/>
      <w:strike w:val="false"/>
      <w:dstrike w:val="false"/>
    </w:rPr>
  </w:style>
  <w:style w:type="character" w:styleId="ListLabel6">
    <w:name w:val="ListLabel 6"/>
    <w:qFormat/>
    <w:rPr>
      <w:i w:val="false"/>
      <w:strike w:val="false"/>
      <w:dstrike w:val="false"/>
    </w:rPr>
  </w:style>
  <w:style w:type="character" w:styleId="ListLabel7">
    <w:name w:val="ListLabel 7"/>
    <w:qFormat/>
    <w:rPr>
      <w:b w:val="false"/>
      <w:i w:val="false"/>
      <w:sz w:val="18"/>
      <w:szCs w:val="18"/>
    </w:rPr>
  </w:style>
  <w:style w:type="character" w:styleId="ListLabel8">
    <w:name w:val="ListLabel 8"/>
    <w:qFormat/>
    <w:rPr>
      <w:b/>
      <w:color w:val="00000A"/>
    </w:rPr>
  </w:style>
  <w:style w:type="character" w:styleId="ListLabel9">
    <w:name w:val="ListLabel 9"/>
    <w:qFormat/>
    <w:rPr>
      <w:rFonts w:ascii="Arial" w:hAnsi="Arial"/>
      <w:b/>
      <w:i w:val="false"/>
      <w:strike w:val="false"/>
      <w:dstrike w:val="false"/>
      <w:color w:val="00000A"/>
    </w:rPr>
  </w:style>
  <w:style w:type="character" w:styleId="ListLabel10">
    <w:name w:val="ListLabel 10"/>
    <w:qFormat/>
    <w:rPr>
      <w:b/>
      <w:i w:val="false"/>
      <w:color w:val="00000A"/>
    </w:rPr>
  </w:style>
  <w:style w:type="character" w:styleId="ListLabel11">
    <w:name w:val="ListLabel 11"/>
    <w:qFormat/>
    <w:rPr>
      <w:b/>
      <w:color w:val="00000A"/>
    </w:rPr>
  </w:style>
  <w:style w:type="character" w:styleId="ListLabel12">
    <w:name w:val="ListLabel 12"/>
    <w:qFormat/>
    <w:rPr>
      <w:rFonts w:ascii="Arial" w:hAnsi="Arial"/>
      <w:b w:val="false"/>
      <w:i w:val="false"/>
      <w:strike w:val="false"/>
      <w:dstrike w:val="false"/>
      <w:color w:val="00000A"/>
    </w:rPr>
  </w:style>
  <w:style w:type="character" w:styleId="ListLabel13">
    <w:name w:val="ListLabel 13"/>
    <w:qFormat/>
    <w:rPr>
      <w:b/>
      <w:i w:val="false"/>
      <w:color w:val="00000A"/>
    </w:rPr>
  </w:style>
  <w:style w:type="character" w:styleId="ListLabel14">
    <w:name w:val="ListLabel 14"/>
    <w:qFormat/>
    <w:rPr>
      <w:b/>
      <w:color w:val="00000A"/>
    </w:rPr>
  </w:style>
  <w:style w:type="character" w:styleId="ListLabel15">
    <w:name w:val="ListLabel 15"/>
    <w:qFormat/>
    <w:rPr>
      <w:b/>
      <w:i w:val="false"/>
      <w:strike w:val="false"/>
      <w:dstrike w:val="false"/>
      <w:color w:val="00000A"/>
    </w:rPr>
  </w:style>
  <w:style w:type="character" w:styleId="ListLabel16">
    <w:name w:val="ListLabel 16"/>
    <w:qFormat/>
    <w:rPr>
      <w:b/>
      <w:i w:val="false"/>
      <w:color w:val="00000A"/>
    </w:rPr>
  </w:style>
  <w:style w:type="character" w:styleId="ListLabel17">
    <w:name w:val="ListLabel 17"/>
    <w:qFormat/>
    <w:rPr>
      <w:b/>
      <w:color w:val="00000A"/>
    </w:rPr>
  </w:style>
  <w:style w:type="character" w:styleId="ListLabel18">
    <w:name w:val="ListLabel 18"/>
    <w:qFormat/>
    <w:rPr>
      <w:b/>
      <w:i w:val="false"/>
      <w:strike w:val="false"/>
      <w:dstrike w:val="false"/>
      <w:color w:val="00000A"/>
    </w:rPr>
  </w:style>
  <w:style w:type="character" w:styleId="ListLabel19">
    <w:name w:val="ListLabel 19"/>
    <w:qFormat/>
    <w:rPr>
      <w:b/>
      <w:i w:val="false"/>
      <w:color w:val="00000A"/>
    </w:rPr>
  </w:style>
  <w:style w:type="character" w:styleId="ListLabel20">
    <w:name w:val="ListLabel 20"/>
    <w:qFormat/>
    <w:rPr>
      <w:b/>
      <w:color w:val="00000A"/>
    </w:rPr>
  </w:style>
  <w:style w:type="character" w:styleId="ListLabel21">
    <w:name w:val="ListLabel 21"/>
    <w:qFormat/>
    <w:rPr>
      <w:b/>
      <w:bCs/>
      <w:i w:val="false"/>
      <w:strike w:val="false"/>
      <w:dstrike w:val="false"/>
      <w:color w:val="00000A"/>
    </w:rPr>
  </w:style>
  <w:style w:type="character" w:styleId="ListLabel22">
    <w:name w:val="ListLabel 22"/>
    <w:qFormat/>
    <w:rPr>
      <w:b/>
      <w:i w:val="false"/>
      <w:color w:val="00000A"/>
    </w:rPr>
  </w:style>
  <w:style w:type="character" w:styleId="ListLabel23">
    <w:name w:val="ListLabel 23"/>
    <w:qFormat/>
    <w:rPr>
      <w:b/>
    </w:rPr>
  </w:style>
  <w:style w:type="character" w:styleId="ListLabel24">
    <w:name w:val="ListLabel 24"/>
    <w:qFormat/>
    <w:rPr>
      <w:b/>
      <w:bCs/>
      <w:i w:val="false"/>
      <w:strike w:val="false"/>
      <w:dstrike w:val="false"/>
    </w:rPr>
  </w:style>
  <w:style w:type="character" w:styleId="ListLabel25">
    <w:name w:val="ListLabel 25"/>
    <w:qFormat/>
    <w:rPr>
      <w:b/>
      <w:i w:val="false"/>
    </w:rPr>
  </w:style>
  <w:style w:type="character" w:styleId="ListLabel26">
    <w:name w:val="ListLabel 26"/>
    <w:qFormat/>
    <w:rPr>
      <w:b/>
    </w:rPr>
  </w:style>
  <w:style w:type="character" w:styleId="ListLabel27">
    <w:name w:val="ListLabel 27"/>
    <w:qFormat/>
    <w:rPr>
      <w:b/>
      <w:bCs/>
      <w:i w:val="false"/>
      <w:strike w:val="false"/>
      <w:dstrike w:val="false"/>
    </w:rPr>
  </w:style>
  <w:style w:type="character" w:styleId="ListLabel28">
    <w:name w:val="ListLabel 28"/>
    <w:qFormat/>
    <w:rPr>
      <w:b/>
      <w:i w:val="false"/>
    </w:rPr>
  </w:style>
  <w:style w:type="character" w:styleId="ListLabel29">
    <w:name w:val="ListLabel 29"/>
    <w:qFormat/>
    <w:rPr>
      <w:b/>
    </w:rPr>
  </w:style>
  <w:style w:type="character" w:styleId="ListLabel30">
    <w:name w:val="ListLabel 30"/>
    <w:qFormat/>
    <w:rPr>
      <w:b/>
      <w:bCs/>
      <w:i w:val="false"/>
      <w:strike w:val="false"/>
      <w:dstrike w:val="false"/>
    </w:rPr>
  </w:style>
  <w:style w:type="character" w:styleId="ListLabel31">
    <w:name w:val="ListLabel 31"/>
    <w:qFormat/>
    <w:rPr>
      <w:b/>
      <w:i w:val="false"/>
    </w:rPr>
  </w:style>
  <w:style w:type="character" w:styleId="ListLabel32">
    <w:name w:val="ListLabel 32"/>
    <w:qFormat/>
    <w:rPr>
      <w:b/>
    </w:rPr>
  </w:style>
  <w:style w:type="character" w:styleId="ListLabel33">
    <w:name w:val="ListLabel 33"/>
    <w:qFormat/>
    <w:rPr>
      <w:b/>
      <w:bCs/>
      <w:i w:val="false"/>
      <w:strike w:val="false"/>
      <w:dstrike w:val="false"/>
    </w:rPr>
  </w:style>
  <w:style w:type="character" w:styleId="ListLabel34">
    <w:name w:val="ListLabel 34"/>
    <w:qFormat/>
    <w:rPr>
      <w:b/>
      <w:i w:val="fals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qFormat/>
    <w:pPr>
      <w:spacing w:lineRule="auto" w:line="288" w:before="0" w:after="140"/>
    </w:pPr>
    <w:rPr/>
  </w:style>
  <w:style w:type="paragraph" w:styleId="Lista">
    <w:name w:val="List"/>
    <w:basedOn w:val="Corpodetexto"/>
    <w:pPr>
      <w:widowControl w:val="false"/>
      <w:suppressAutoHyphens w:val="true"/>
      <w:bidi w:val="0"/>
      <w:jc w:val="left"/>
    </w:pPr>
    <w:rPr>
      <w:rFonts w:ascii="Times New Roman" w:hAnsi="Times New Roman" w:eastAsia="Times New Roman" w:cs="Mangal"/>
      <w:color w:val="00000A"/>
      <w:sz w:val="20"/>
      <w:szCs w:val="20"/>
      <w:lang w:val="pt-BR" w:eastAsia="pt-BR" w:bidi="ar-S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qFormat/>
    <w:pPr>
      <w:spacing w:lineRule="auto" w:line="288" w:before="0" w:after="140"/>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spacing w:before="280" w:after="280"/>
    </w:pPr>
    <w:rPr>
      <w:rFonts w:ascii="Times New Roman" w:hAnsi="Times New Roman" w:cs="Times New Roman"/>
    </w:rPr>
  </w:style>
  <w:style w:type="paragraph" w:styleId="BalloonText">
    <w:name w:val="Balloon Text"/>
    <w:basedOn w:val="Normal"/>
    <w:qFormat/>
    <w:pPr/>
    <w:rPr>
      <w:rFonts w:ascii="Tahoma" w:hAnsi="Tahoma"/>
      <w:sz w:val="16"/>
      <w:szCs w:val="16"/>
    </w:rPr>
  </w:style>
  <w:style w:type="paragraph" w:styleId="Nvel2">
    <w:name w:val="Nível 2"/>
    <w:basedOn w:val="Normal"/>
    <w:next w:val="Normal"/>
    <w:qFormat/>
    <w:pPr>
      <w:spacing w:before="0" w:after="120"/>
      <w:jc w:val="both"/>
    </w:pPr>
    <w:rPr>
      <w:rFonts w:cs="Times New Roman"/>
      <w:b/>
      <w:szCs w:val="20"/>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i/>
      <w:iCs/>
      <w:color w:val="000000"/>
      <w:lang w:eastAsia="en-US"/>
    </w:rPr>
  </w:style>
  <w:style w:type="paragraph" w:styleId="ListBullet5">
    <w:name w:val="List Bullet 5"/>
    <w:basedOn w:val="Normal"/>
    <w:qFormat/>
    <w:pPr>
      <w:spacing w:before="0" w:after="0"/>
      <w:contextualSpacing/>
    </w:pPr>
    <w:rPr/>
  </w:style>
  <w:style w:type="paragraph" w:styleId="Citao2">
    <w:name w:val="citação 2"/>
    <w:basedOn w:val="Quote"/>
    <w:qFormat/>
    <w:pPr>
      <w:shd w:val="clear" w:fill="FFFFCC"/>
    </w:pPr>
    <w:rPr>
      <w:szCs w:val="20"/>
    </w:rPr>
  </w:style>
  <w:style w:type="paragraph"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cs="Times New Roman"/>
      <w:i/>
      <w:iCs/>
      <w:color w:val="000000"/>
      <w:lang w:val="x-none" w:eastAsia="en-US"/>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Nivel1">
    <w:name w:val="Nivel1"/>
    <w:basedOn w:val="Ttulo1"/>
    <w:next w:val="Normal"/>
    <w:qFormat/>
    <w:pPr>
      <w:spacing w:lineRule="auto" w:line="276" w:before="480" w:after="120"/>
      <w:jc w:val="both"/>
    </w:pPr>
    <w:rPr>
      <w:rFonts w:ascii="Arial" w:hAnsi="Arial" w:cs="Arial"/>
      <w:b/>
      <w:color w:val="000000"/>
      <w:sz w:val="20"/>
      <w:szCs w:val="20"/>
    </w:rPr>
  </w:style>
  <w:style w:type="paragraph" w:styleId="Annotationtext">
    <w:name w:val="annotation text"/>
    <w:basedOn w:val="Normal"/>
    <w:qFormat/>
    <w:pPr/>
    <w:rPr>
      <w:sz w:val="24"/>
    </w:rPr>
  </w:style>
  <w:style w:type="paragraph" w:styleId="Annotationsubject">
    <w:name w:val="annotation subject"/>
    <w:basedOn w:val="Annotationtext"/>
    <w:qFormat/>
    <w:pPr/>
    <w:rPr>
      <w:b/>
      <w:bCs/>
      <w:sz w:val="20"/>
      <w:szCs w:val="20"/>
    </w:rPr>
  </w:style>
  <w:style w:type="paragraph" w:styleId="Nivel01">
    <w:name w:val="Nivel 01"/>
    <w:basedOn w:val="Ttulo1"/>
    <w:next w:val="Normal"/>
    <w:qFormat/>
    <w:pPr>
      <w:tabs>
        <w:tab w:val="left" w:pos="567" w:leader="none"/>
      </w:tabs>
      <w:jc w:val="both"/>
    </w:pPr>
    <w:rPr>
      <w:rFonts w:ascii="Ecofont_Spranq_eco_Sans" w:hAnsi="Ecofont_Spranq_eco_Sans" w:cs="Times New Roman"/>
      <w:b/>
      <w:bCs/>
      <w:color w:val="000000"/>
      <w:sz w:val="20"/>
      <w:szCs w:val="20"/>
    </w:rPr>
  </w:style>
  <w:style w:type="paragraph" w:styleId="Nivel011">
    <w:name w:val="Nivel_01"/>
    <w:basedOn w:val="Ttulo1"/>
    <w:qFormat/>
    <w:pPr>
      <w:tabs>
        <w:tab w:val="left" w:pos="567" w:leader="none"/>
      </w:tabs>
      <w:jc w:val="both"/>
    </w:pPr>
    <w:rPr>
      <w:rFonts w:ascii="Ecofont_Spranq_eco_Sans" w:hAnsi="Ecofont_Spranq_eco_Sans" w:cs="Times New Roman"/>
      <w:b/>
      <w:bCs/>
      <w:color w:val="00000A"/>
      <w:sz w:val="20"/>
      <w:szCs w:val="20"/>
    </w:rPr>
  </w:style>
  <w:style w:type="paragraph"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Nivel2">
    <w:name w:val="Nivel 2"/>
    <w:qFormat/>
    <w:pPr>
      <w:widowControl/>
      <w:suppressAutoHyphens w:val="true"/>
      <w:overflowPunct w:val="true"/>
      <w:bidi w:val="0"/>
      <w:spacing w:lineRule="auto" w:line="276" w:before="120" w:after="120"/>
      <w:jc w:val="both"/>
    </w:pPr>
    <w:rPr>
      <w:rFonts w:ascii="Ecofont_Spranq_eco_Sans" w:hAnsi="Ecofont_Spranq_eco_Sans" w:eastAsia="Arial Unicode MS" w:cs="Times New Roman"/>
      <w:color w:val="00000A"/>
      <w:sz w:val="20"/>
      <w:szCs w:val="20"/>
      <w:lang w:val="pt-BR" w:eastAsia="pt-BR" w:bidi="ar-SA"/>
    </w:rPr>
  </w:style>
  <w:style w:type="paragraph" w:styleId="Nivel11">
    <w:name w:val="Nivel 1"/>
    <w:basedOn w:val="Nivel2"/>
    <w:qFormat/>
    <w:pPr>
      <w:tabs>
        <w:tab w:val="left" w:pos="360" w:leader="none"/>
      </w:tabs>
      <w:ind w:left="644" w:right="0" w:hanging="432"/>
    </w:pPr>
    <w:rPr>
      <w:rFonts w:cs="Arial"/>
      <w:b/>
    </w:rPr>
  </w:style>
  <w:style w:type="paragraph" w:styleId="Nivel3">
    <w:name w:val="Nivel 3"/>
    <w:basedOn w:val="Nivel2"/>
    <w:qFormat/>
    <w:pPr>
      <w:tabs>
        <w:tab w:val="left" w:pos="360" w:leader="none"/>
      </w:tabs>
      <w:ind w:left="1922" w:right="0" w:hanging="0"/>
    </w:pPr>
    <w:rPr>
      <w:rFonts w:cs="Arial"/>
      <w:color w:val="000000"/>
    </w:rPr>
  </w:style>
  <w:style w:type="paragraph" w:styleId="Nivel4">
    <w:name w:val="Nivel 4"/>
    <w:basedOn w:val="Nivel3"/>
    <w:qFormat/>
    <w:pPr>
      <w:tabs>
        <w:tab w:val="left" w:pos="360" w:leader="none"/>
      </w:tabs>
      <w:ind w:left="2491" w:right="0" w:hanging="0"/>
    </w:pPr>
    <w:rPr>
      <w:color w:val="00000A"/>
    </w:rPr>
  </w:style>
  <w:style w:type="paragraph" w:styleId="Nivel5">
    <w:name w:val="Nivel 5"/>
    <w:basedOn w:val="Nivel4"/>
    <w:qFormat/>
    <w:pPr>
      <w:tabs>
        <w:tab w:val="left" w:pos="360" w:leader="none"/>
      </w:tabs>
      <w:ind w:left="3485" w:right="0" w:hanging="0"/>
    </w:pPr>
    <w:rPr/>
  </w:style>
  <w:style w:type="paragraph" w:styleId="Citao1">
    <w:name w:val="Citação1"/>
    <w:basedOn w:val="Normal"/>
    <w:qFormat/>
    <w:pPr>
      <w:pBdr>
        <w:bottom w:val="single" w:sz="4" w:space="1" w:color="1F497D"/>
      </w:pBdr>
    </w:pPr>
    <w:rPr>
      <w:rFonts w:ascii="Ecofont_Spranq_eco_Sans" w:hAnsi="Ecofont_Spranq_eco_Sans" w:cs="Ecofont_Spranq_eco_Sans"/>
      <w:i/>
      <w:iCs/>
      <w:color w:val="000000"/>
      <w:sz w:val="24"/>
      <w:shd w:fill="FFFF00" w:val="clear"/>
      <w:lang w:eastAsia="en-US"/>
    </w:rPr>
  </w:style>
  <w:style w:type="paragraph" w:styleId="Citaes">
    <w:name w:val="Citações"/>
    <w:basedOn w:val="Normal"/>
    <w:qFormat/>
    <w:pPr/>
    <w:rPr/>
  </w:style>
  <w:style w:type="paragraph" w:styleId="Ttulododocumento">
    <w:name w:val="Title"/>
    <w:basedOn w:val="Ttulo"/>
    <w:qFormat/>
    <w:pPr/>
    <w:rPr/>
  </w:style>
  <w:style w:type="paragraph" w:styleId="Subttulo">
    <w:name w:val="Subtitle"/>
    <w:basedOn w:val="Ttulo"/>
    <w:qFormat/>
    <w:pPr/>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TR compras</Template>
  <TotalTime>1710</TotalTime>
  <Application>LibreOffice/5.3.1.2$Windows_X86_64 LibreOffice_project/e80a0e0fd1875e1696614d24c32df0f95f03deb2</Application>
  <Pages>10</Pages>
  <Words>3578</Words>
  <Characters>20060</Characters>
  <CharactersWithSpaces>23516</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2020-01-14T19:34:00Z</dcterms:created>
  <dc:creator>Adriano</dc:creator>
  <dc:description/>
  <dc:language>pt-BR</dc:language>
  <cp:lastModifiedBy/>
  <cp:lastPrinted>2020-05-20T10:46:31Z</cp:lastPrinted>
  <dcterms:modified xsi:type="dcterms:W3CDTF">2020-05-20T10:49:43Z</dcterms:modified>
  <cp:revision>14</cp:revision>
  <dc:subject/>
  <dc:title>NOTAS EXPLICATIVAS</dc:title>
</cp:coreProperties>
</file>