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iCs/>
          <w:color w:val="000000"/>
          <w:sz w:val="20"/>
          <w:szCs w:val="20"/>
        </w:rPr>
      </w:pPr>
      <w:r>
        <w:rPr>
          <w:rFonts w:cs="Arial" w:ascii="Arial" w:hAnsi="Arial"/>
          <w:b/>
          <w:bCs/>
          <w:iCs/>
          <w:color w:val="000000"/>
          <w:sz w:val="20"/>
          <w:szCs w:val="20"/>
        </w:rPr>
        <w:t>ANEXO II</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sz w:val="20"/>
          <w:szCs w:val="20"/>
        </w:rPr>
      </w:pPr>
      <w:r>
        <w:rPr>
          <w:rFonts w:cs="Arial" w:ascii="Arial" w:hAnsi="Arial"/>
          <w:b/>
          <w:bCs/>
          <w:iCs/>
          <w:color w:val="000000"/>
          <w:sz w:val="20"/>
          <w:szCs w:val="20"/>
        </w:rPr>
        <w:t>ATA DE REGISTRO DE PREÇOS</w:t>
      </w:r>
    </w:p>
    <w:p>
      <w:pPr>
        <w:pStyle w:val="Normal"/>
        <w:widowControl w:val="false"/>
        <w:ind w:right="-15" w:hanging="0"/>
        <w:jc w:val="center"/>
        <w:rPr>
          <w:rFonts w:ascii="Arial" w:hAnsi="Arial" w:cs="Arial"/>
          <w:sz w:val="20"/>
          <w:szCs w:val="20"/>
        </w:rPr>
      </w:pPr>
      <w:r>
        <w:rPr>
          <w:rFonts w:cs="Arial" w:ascii="Arial" w:hAnsi="Arial"/>
          <w:sz w:val="20"/>
          <w:szCs w:val="20"/>
        </w:rPr>
        <w:t>UNIVERSIDADE FEDERAL DE ALAGOAS</w:t>
      </w:r>
    </w:p>
    <w:p>
      <w:pPr>
        <w:pStyle w:val="Normal"/>
        <w:widowControl w:val="false"/>
        <w:ind w:right="-30" w:hanging="0"/>
        <w:jc w:val="center"/>
        <w:rPr>
          <w:rFonts w:ascii="Arial" w:hAnsi="Arial" w:cs="Arial"/>
          <w:sz w:val="20"/>
          <w:szCs w:val="20"/>
        </w:rPr>
      </w:pPr>
      <w:r>
        <w:rPr>
          <w:rFonts w:cs="Arial" w:ascii="Arial" w:hAnsi="Arial"/>
          <w:sz w:val="20"/>
          <w:szCs w:val="20"/>
        </w:rPr>
        <w:t xml:space="preserve">ATA DE REGISTRO DE PREÇOS </w:t>
      </w:r>
    </w:p>
    <w:p>
      <w:pPr>
        <w:pStyle w:val="Normal"/>
        <w:widowControl w:val="false"/>
        <w:ind w:right="-30" w:hanging="0"/>
        <w:jc w:val="center"/>
        <w:rPr>
          <w:rFonts w:ascii="Arial" w:hAnsi="Arial" w:cs="Arial"/>
          <w:bCs/>
          <w:sz w:val="20"/>
          <w:szCs w:val="20"/>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enter" w:pos="4779" w:leader="none"/>
          <w:tab w:val="right" w:pos="9198" w:leader="none"/>
        </w:tabs>
        <w:ind w:right="-28" w:hanging="0"/>
        <w:jc w:val="both"/>
        <w:rPr/>
      </w:pPr>
      <w:r>
        <w:rPr>
          <w:rFonts w:cs="Arial" w:ascii="Arial" w:hAnsi="Arial"/>
          <w:sz w:val="20"/>
          <w:szCs w:val="20"/>
        </w:rPr>
        <w:t xml:space="preserve">A Universidade Federal de Alagoas, com sede no Campus A. C. Simões - Av. Lourival Melo Mota, S/N, Tabuleiro do Martins - Maceió-AL, CEP 57.072-900, na cidade de Maceió, inscrita no CNPJ/MF sob o nº 24.464.109/0001-48, neste ato representada pela reitora Maria Valéria Costa Correia, nomeada pelo Decreto Ministerial do dia 12 de janeiro de 2016, publicado no Diário Oficial do dia 13 de janeiro de 2016, inscrita no CPF sob o nº 284.480.734-87, portadora da Carteira de Identidade nº 2002001226279 – SSP/AL,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REGISTRO DE PREÇOS nº </w:t>
      </w:r>
      <w:r>
        <w:rPr>
          <w:rFonts w:cs="Arial" w:ascii="Arial" w:hAnsi="Arial"/>
          <w:sz w:val="20"/>
          <w:szCs w:val="20"/>
        </w:rPr>
        <w:t>18</w:t>
      </w:r>
      <w:r>
        <w:rPr>
          <w:rFonts w:cs="Arial" w:ascii="Arial" w:hAnsi="Arial"/>
          <w:sz w:val="20"/>
          <w:szCs w:val="20"/>
        </w:rPr>
        <w:t>/2019, publicada no ...... de ...../...../20....., processo administrativo n.º 23065.</w:t>
      </w:r>
      <w:r>
        <w:rPr>
          <w:rFonts w:cs="Arial" w:ascii="Arial" w:hAnsi="Arial"/>
          <w:sz w:val="20"/>
          <w:szCs w:val="20"/>
        </w:rPr>
        <w:t>033497/2019-10</w:t>
      </w:r>
      <w:r>
        <w:rPr>
          <w:rFonts w:cs="Arial" w:ascii="Arial" w:hAnsi="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pPr>
      <w:r>
        <w:rPr>
          <w:rFonts w:cs="Arial" w:ascii="Arial" w:hAnsi="Arial"/>
          <w:sz w:val="20"/>
          <w:szCs w:val="20"/>
        </w:rPr>
        <w:t xml:space="preserve">A presente Ata tem por objeto o registro de preços para a eventual aquisição de recarga de gases, especificado(s) no(s) item(ns).......... do .......... Termo de Referência, anexo I do edital de </w:t>
      </w:r>
      <w:r>
        <w:rPr>
          <w:rFonts w:cs="Arial" w:ascii="Arial" w:hAnsi="Arial"/>
          <w:i/>
          <w:sz w:val="20"/>
          <w:szCs w:val="20"/>
        </w:rPr>
        <w:t>Pregão</w:t>
      </w:r>
      <w:r>
        <w:rPr>
          <w:rFonts w:cs="Arial" w:ascii="Arial" w:hAnsi="Arial"/>
          <w:sz w:val="20"/>
          <w:szCs w:val="20"/>
        </w:rPr>
        <w:t xml:space="preserve"> nº </w:t>
      </w:r>
      <w:r>
        <w:rPr>
          <w:rFonts w:cs="Arial" w:ascii="Arial" w:hAnsi="Arial"/>
          <w:sz w:val="20"/>
          <w:szCs w:val="20"/>
        </w:rPr>
        <w:t>18</w:t>
      </w:r>
      <w:r>
        <w:rPr>
          <w:rFonts w:cs="Arial" w:ascii="Arial" w:hAnsi="Arial"/>
          <w:sz w:val="20"/>
          <w:szCs w:val="20"/>
        </w:rPr>
        <w:t>/2019,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7" w:type="dxa"/>
          <w:bottom w:w="0" w:type="dxa"/>
          <w:right w:w="10" w:type="dxa"/>
        </w:tblCellMar>
        <w:tblLook w:val="0000"/>
      </w:tblPr>
      <w:tblGrid>
        <w:gridCol w:w="496"/>
        <w:gridCol w:w="1184"/>
        <w:gridCol w:w="1402"/>
        <w:gridCol w:w="1541"/>
        <w:gridCol w:w="1121"/>
        <w:gridCol w:w="1121"/>
        <w:gridCol w:w="841"/>
        <w:gridCol w:w="844"/>
      </w:tblGrid>
      <w:tr>
        <w:trPr>
          <w:trHeight w:val="511" w:hRule="atLeast"/>
        </w:trPr>
        <w:tc>
          <w:tcPr>
            <w:tcW w:w="4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7" w:type="dxa"/>
            </w:tcMar>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7" w:type="dxa"/>
            </w:tcMar>
            <w:vAlign w:val="center"/>
          </w:tcPr>
          <w:p>
            <w:pPr>
              <w:pStyle w:val="Normal"/>
              <w:widowControl w:val="false"/>
              <w:ind w:right="-30" w:hanging="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6" w:type="dxa"/>
            <w:tcBorders>
              <w:left w:val="single" w:sz="2" w:space="0" w:color="000001"/>
              <w:bottom w:val="single" w:sz="2" w:space="0" w:color="000001"/>
              <w:insideH w:val="single" w:sz="2" w:space="0" w:color="000001"/>
            </w:tcBorders>
            <w:shd w:fill="auto" w:val="clear"/>
            <w:tcMar>
              <w:left w:w="7" w:type="dxa"/>
            </w:tcMar>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184"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402"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7" w:type="dxa"/>
            </w:tcMar>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6"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84"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402"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1" w:type="dxa"/>
            <w:tcBorders>
              <w:left w:val="single" w:sz="2" w:space="0" w:color="000001"/>
              <w:bottom w:val="single" w:sz="2" w:space="0" w:color="000001"/>
              <w:insideH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7"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widowControl w:val="false"/>
        <w:ind w:right="-30" w:hanging="0"/>
        <w:jc w:val="both"/>
        <w:rPr>
          <w:rFonts w:ascii="Arial" w:hAnsi="Arial" w:cs="Arial"/>
          <w:i/>
          <w:i/>
          <w:iCs/>
          <w:sz w:val="20"/>
          <w:szCs w:val="20"/>
        </w:rPr>
      </w:pPr>
      <w:r>
        <w:rPr>
          <w:rFonts w:cs="Arial" w:ascii="Arial" w:hAnsi="Arial"/>
          <w:i/>
          <w:iCs/>
          <w:sz w:val="20"/>
          <w:szCs w:val="20"/>
        </w:rPr>
      </w:r>
    </w:p>
    <w:p>
      <w:pPr>
        <w:pStyle w:val="Nivel1"/>
        <w:numPr>
          <w:ilvl w:val="0"/>
          <w:numId w:val="1"/>
        </w:numPr>
        <w:rPr>
          <w:i/>
          <w:i/>
          <w:color w:val="FF0000"/>
          <w:lang w:eastAsia="en-US"/>
        </w:rPr>
      </w:pPr>
      <w:r>
        <w:rPr>
          <w:lang w:eastAsia="en-US"/>
        </w:rPr>
        <w:t>D</w:t>
      </w:r>
      <w:bookmarkStart w:id="0" w:name="_GoBack"/>
      <w:bookmarkEnd w:id="0"/>
      <w:r>
        <w:rPr>
          <w:lang w:eastAsia="en-US"/>
        </w:rPr>
        <w:t xml:space="preserve">A ADESÃO À ATA DE REGISTRO DE PREÇOS </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rFonts w:ascii="Arial" w:hAnsi="Arial" w:cs="Arial"/>
          <w:sz w:val="20"/>
          <w:szCs w:val="20"/>
        </w:rPr>
      </w:pPr>
      <w:r>
        <w:rPr>
          <w:rFonts w:cs="Arial" w:ascii="Arial" w:hAnsi="Arial"/>
          <w:sz w:val="20"/>
          <w:szCs w:val="20"/>
        </w:rPr>
        <w:t> </w:t>
      </w:r>
      <w:r>
        <w:rPr>
          <w:rFonts w:cs="Arial" w:ascii="Arial" w:hAnsi="Arial"/>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cs="Arial"/>
          <w:sz w:val="20"/>
          <w:szCs w:val="20"/>
        </w:rPr>
      </w:pPr>
      <w:r>
        <w:rPr>
          <w:rFonts w:cs="Arial" w:ascii="Arial" w:hAnsi="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cs="Arial"/>
          <w:sz w:val="20"/>
          <w:szCs w:val="20"/>
        </w:rPr>
      </w:pPr>
      <w:r>
        <w:rPr>
          <w:rFonts w:cs="Arial" w:ascii="Arial" w:hAnsi="Arial"/>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A validade da Ata de Registro de Preços será de 12 meses, a partir da assinatura do licitante, não podendo ser prorrogada.</w:t>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5.7.1, 5.7.2 e 5.7.4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 </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rFonts w:ascii="Arial" w:hAnsi="Arial" w:cs="Arial"/>
          <w:sz w:val="20"/>
          <w:szCs w:val="20"/>
        </w:rPr>
      </w:pPr>
      <w:r>
        <w:rPr>
          <w:rFonts w:cs="Arial" w:ascii="Arial" w:hAnsi="Arial"/>
          <w:sz w:val="20"/>
          <w:szCs w:val="20"/>
        </w:rPr>
        <w:t>Para firmeza e validade do pactuado, a presente Ata foi lavrada em 2 (duas)  vias de igual teor, que, depois de lida e achada em ordem, vai assinada pelas partes.</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rFonts w:ascii="Arial" w:hAnsi="Arial" w:cs="Arial"/>
          <w:i/>
          <w:i/>
          <w:iCs/>
          <w:color w:val="FF0000"/>
          <w:sz w:val="20"/>
          <w:szCs w:val="20"/>
        </w:rPr>
      </w:pPr>
      <w:r>
        <w:rPr>
          <w:rFonts w:cs="Arial" w:ascii="Arial" w:hAnsi="Arial"/>
          <w:i/>
          <w:iCs/>
          <w:color w:val="FF0000"/>
          <w:sz w:val="20"/>
          <w:szCs w:val="20"/>
        </w:rPr>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footerReference w:type="default" r:id="rId2"/>
      <w:type w:val="nextPage"/>
      <w:pgSz w:w="11906" w:h="16838"/>
      <w:pgMar w:left="1701" w:right="1134" w:header="0" w:top="1418"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color w:val="00000A"/>
      </w:rPr>
    </w:lvl>
    <w:lvl w:ilvl="1">
      <w:start w:val="1"/>
      <w:numFmt w:val="decimal"/>
      <w:lvlText w:val="%1.%2."/>
      <w:lvlJc w:val="left"/>
      <w:pPr>
        <w:ind w:left="1283" w:hanging="432"/>
      </w:pPr>
      <w:rPr>
        <w:sz w:val="20"/>
        <w:szCs w:val="20"/>
        <w:rFonts w:ascii="Arial" w:hAnsi="Arial"/>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46fc"/>
    <w:pPr>
      <w:widowControl/>
      <w:bidi w:val="0"/>
      <w:jc w:val="left"/>
    </w:pPr>
    <w:rPr>
      <w:rFonts w:ascii="Ecofont_Spranq_eco_Sans" w:hAnsi="Ecofont_Spranq_eco_Sans" w:cs="Tahoma" w:eastAsia="Times New Roman"/>
      <w:color w:val="auto"/>
      <w:sz w:val="24"/>
      <w:szCs w:val="24"/>
      <w:lang w:val="pt-BR" w:eastAsia="pt-BR" w:bidi="ar-SA"/>
    </w:rPr>
  </w:style>
  <w:style w:type="paragraph" w:styleId="Ttulo1">
    <w:name w:val="Heading 1"/>
    <w:basedOn w:val="Normal"/>
    <w:next w:val="Normal"/>
    <w:link w:val="Ttulo1Char"/>
    <w:qFormat/>
    <w:rsid w:val="006362ae"/>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ListLabel1">
    <w:name w:val="ListLabel 1"/>
    <w:qFormat/>
    <w:rPr>
      <w:rFonts w:ascii="Arial" w:hAnsi="Arial"/>
      <w:b/>
      <w:color w:val="00000A"/>
      <w:sz w:val="20"/>
    </w:rPr>
  </w:style>
  <w:style w:type="character" w:styleId="ListLabel2">
    <w:name w:val="ListLabel 2"/>
    <w:qFormat/>
    <w:rPr>
      <w:rFonts w:ascii="Arial" w:hAnsi="Arial"/>
      <w:sz w:val="20"/>
      <w:szCs w:val="20"/>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
    <w:name w:val="Header"/>
    <w:basedOn w:val="Normal"/>
    <w:link w:val="CabealhoChar"/>
    <w:unhideWhenUsed/>
    <w:rsid w:val="00bb5309"/>
    <w:pPr>
      <w:tabs>
        <w:tab w:val="center" w:pos="4252" w:leader="none"/>
        <w:tab w:val="right" w:pos="8504" w:leader="none"/>
      </w:tabs>
    </w:pPr>
    <w:rPr/>
  </w:style>
  <w:style w:type="paragraph" w:styleId="Rodap">
    <w:name w:val="Footer"/>
    <w:basedOn w:val="Normal"/>
    <w:link w:val="RodapChar"/>
    <w:unhideWhenUsed/>
    <w:rsid w:val="00bb5309"/>
    <w:pPr>
      <w:tabs>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00000A"/>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dfa71caac9fcb1ff7f25c5fd5293f558">
  <xsd:schema xmlns:xsd="http://www.w3.org/2001/XMLSchema" xmlns:xs="http://www.w3.org/2001/XMLSchema" xmlns:p="http://schemas.microsoft.com/office/2006/metadata/properties" xmlns:ns2="52c93ea8-e2de-466c-b401-d7fabeb9490e" targetNamespace="http://schemas.microsoft.com/office/2006/metadata/properties" ma:root="true" ma:fieldsID="aa9687eb881e0b82a4bce37bdf029d6a"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0624A-5AA4-4291-A992-AD534D16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10BC7201-7ED3-4096-9DE3-0512CE1D9A22}">
  <ds:schemaRef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52c93ea8-e2de-466c-b401-d7fabeb9490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LibreOffice/5.3.1.2$Windows_X86_64 LibreOffice_project/e80a0e0fd1875e1696614d24c32df0f95f03deb2</Application>
  <Pages>4</Pages>
  <Words>1499</Words>
  <Characters>8454</Characters>
  <CharactersWithSpaces>9858</CharactersWithSpaces>
  <Paragraphs>71</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2018-11-26T19:09:00Z</dcterms:created>
  <dc:creator>CONJUR-MP</dc:creator>
  <dc:description>Texto idêntico ao modelo de serviços, salvo pela especificação do objeto contratado e da respectiva nota explicativa.</dc:description>
  <dc:language>pt-BR</dc:language>
  <cp:lastModifiedBy/>
  <dcterms:modified xsi:type="dcterms:W3CDTF">2019-10-18T14:01:01Z</dcterms:modified>
  <cp:revision>16</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