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tulo1"/>
        <w:keepLines w:val="false"/>
        <w:spacing w:lineRule="auto" w:line="240" w:before="60" w:after="60"/>
        <w:jc w:val="center"/>
        <w:rPr>
          <w:sz w:val="20"/>
          <w:szCs w:val="20"/>
        </w:rPr>
      </w:pPr>
      <w:bookmarkStart w:id="0" w:name="_5u3d2k2guzzq"/>
      <w:bookmarkEnd w:id="0"/>
      <w:r>
        <w:rPr>
          <w:sz w:val="20"/>
          <w:szCs w:val="20"/>
        </w:rPr>
        <w:t>EDITAL</w:t>
      </w:r>
    </w:p>
    <w:p>
      <w:pPr>
        <w:pStyle w:val="Normal"/>
        <w:shd w:fill="FFFFFF" w:val="clear"/>
        <w:spacing w:lineRule="auto" w:line="240" w:before="60" w:after="60"/>
        <w:jc w:val="center"/>
        <w:rPr>
          <w:rFonts w:ascii="Arial" w:hAnsi="Arial" w:eastAsia="Arial" w:cs="Arial"/>
          <w:b/>
          <w:b/>
          <w:sz w:val="20"/>
          <w:szCs w:val="20"/>
        </w:rPr>
      </w:pPr>
      <w:r>
        <w:rPr>
          <w:rFonts w:eastAsia="Arial" w:cs="Arial" w:ascii="Arial" w:hAnsi="Arial"/>
          <w:b/>
          <w:sz w:val="20"/>
          <w:szCs w:val="20"/>
        </w:rPr>
        <w:t>PREGÃO ELETRÔNICO</w:t>
      </w:r>
    </w:p>
    <w:p>
      <w:pPr>
        <w:pStyle w:val="Normal"/>
        <w:shd w:fill="FFFFFF" w:val="clear"/>
        <w:spacing w:lineRule="auto" w:line="240" w:before="60" w:after="60"/>
        <w:jc w:val="center"/>
        <w:rPr>
          <w:rFonts w:ascii="Arial" w:hAnsi="Arial" w:eastAsia="Arial" w:cs="Arial"/>
          <w:b/>
          <w:b/>
          <w:sz w:val="20"/>
          <w:szCs w:val="20"/>
        </w:rPr>
      </w:pPr>
      <w:r>
        <w:rPr>
          <w:rFonts w:eastAsia="Arial" w:cs="Arial" w:ascii="Arial" w:hAnsi="Arial"/>
          <w:b/>
          <w:sz w:val="20"/>
          <w:szCs w:val="20"/>
        </w:rPr>
        <w:t>UNIVERSIDADE FEDERAL DE ALAGOAS</w:t>
      </w:r>
    </w:p>
    <w:p>
      <w:pPr>
        <w:pStyle w:val="Normal"/>
        <w:shd w:fill="FFFFFF" w:val="clear"/>
        <w:spacing w:lineRule="auto" w:line="240" w:before="60" w:after="60"/>
        <w:jc w:val="center"/>
        <w:rPr>
          <w:rFonts w:ascii="Arial" w:hAnsi="Arial" w:eastAsia="Arial" w:cs="Arial"/>
          <w:b/>
          <w:b/>
          <w:sz w:val="20"/>
          <w:szCs w:val="20"/>
        </w:rPr>
      </w:pPr>
      <w:r>
        <w:rPr>
          <w:rFonts w:eastAsia="Arial" w:cs="Arial" w:ascii="Arial" w:hAnsi="Arial"/>
          <w:b/>
          <w:sz w:val="20"/>
          <w:szCs w:val="20"/>
        </w:rPr>
        <w:t xml:space="preserve"> </w:t>
      </w:r>
    </w:p>
    <w:p>
      <w:pPr>
        <w:pStyle w:val="Normal"/>
        <w:shd w:fill="FFFFFF" w:val="clear"/>
        <w:spacing w:lineRule="auto" w:line="240" w:before="60" w:after="60"/>
        <w:jc w:val="center"/>
        <w:rPr>
          <w:rFonts w:ascii="Arial" w:hAnsi="Arial" w:eastAsia="Arial" w:cs="Arial"/>
          <w:b/>
          <w:b/>
          <w:sz w:val="20"/>
          <w:szCs w:val="20"/>
        </w:rPr>
      </w:pPr>
      <w:r>
        <w:rPr>
          <w:rFonts w:eastAsia="Arial" w:cs="Arial" w:ascii="Arial" w:hAnsi="Arial"/>
          <w:b/>
          <w:sz w:val="20"/>
          <w:szCs w:val="20"/>
        </w:rPr>
        <w:t>PREGÃO ELETRÔNICO SRP Nº 07/2019</w:t>
      </w:r>
    </w:p>
    <w:p>
      <w:pPr>
        <w:pStyle w:val="Normal"/>
        <w:shd w:fill="FFFFFF" w:val="clear"/>
        <w:spacing w:lineRule="auto" w:line="240" w:before="60" w:after="60"/>
        <w:jc w:val="center"/>
        <w:rPr>
          <w:rFonts w:ascii="Arial" w:hAnsi="Arial" w:eastAsia="Arial" w:cs="Arial"/>
          <w:sz w:val="20"/>
          <w:szCs w:val="20"/>
        </w:rPr>
      </w:pPr>
      <w:r>
        <w:rPr>
          <w:rFonts w:eastAsia="Arial" w:cs="Arial" w:ascii="Arial" w:hAnsi="Arial"/>
          <w:sz w:val="20"/>
          <w:szCs w:val="20"/>
        </w:rPr>
        <w:t>(Processo Administrativo n° 23065.012610/2019-15)</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t xml:space="preserve"> </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t xml:space="preserve">Torna-se público, para conhecimento dos interessados, que a Universidade Federal de Alagoas, por meio da Gerência de Compras e Licitação – CASS/PROGINST/UFAL, sediada na Av. Lourival de Melo Mota, S/N, Cidade Universitária, CEP </w:t>
      </w:r>
      <w:r>
        <w:rPr>
          <w:rFonts w:eastAsia="Arial" w:cs="Arial" w:ascii="Arial" w:hAnsi="Arial"/>
          <w:sz w:val="20"/>
          <w:szCs w:val="20"/>
          <w:highlight w:val="white"/>
        </w:rPr>
        <w:t>57072-970</w:t>
      </w:r>
      <w:r>
        <w:rPr>
          <w:rFonts w:eastAsia="Arial" w:cs="Arial" w:ascii="Arial" w:hAnsi="Arial"/>
          <w:sz w:val="20"/>
          <w:szCs w:val="20"/>
        </w:rPr>
        <w:t xml:space="preserve">, realizará licitação, para registro de preços, na modalidade PREGÃO, na forma ELETRÔNICA, </w:t>
      </w:r>
      <w:r>
        <w:rPr>
          <w:rFonts w:eastAsia="Arial" w:cs="Arial" w:ascii="Arial" w:hAnsi="Arial"/>
          <w:b/>
          <w:sz w:val="20"/>
          <w:szCs w:val="20"/>
        </w:rPr>
        <w:t xml:space="preserve">do tipo menor preço </w:t>
      </w:r>
      <w:r>
        <w:rPr>
          <w:rFonts w:eastAsia="Arial" w:cs="Arial" w:ascii="Arial" w:hAnsi="Arial"/>
          <w:sz w:val="20"/>
          <w:szCs w:val="20"/>
        </w:rPr>
        <w:t>por item, nos termos da Lei nº 10.520, de 17 de julho de 2002, do Decreto nº 5.450, de 31 de maio de 2005,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t>Data da sessão: 2</w:t>
      </w:r>
      <w:r>
        <w:rPr>
          <w:rFonts w:eastAsia="Arial" w:cs="Arial" w:ascii="Arial" w:hAnsi="Arial"/>
          <w:sz w:val="20"/>
          <w:szCs w:val="20"/>
        </w:rPr>
        <w:t>3</w:t>
      </w:r>
      <w:r>
        <w:rPr>
          <w:rFonts w:eastAsia="Arial" w:cs="Arial" w:ascii="Arial" w:hAnsi="Arial"/>
          <w:sz w:val="20"/>
          <w:szCs w:val="20"/>
        </w:rPr>
        <w:t>/05/2019</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t>Horário: 09h30min</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t>Local: Portal de Compras do Governo Federal – www.comprasgovernamentais.gov.br</w:t>
      </w:r>
    </w:p>
    <w:p>
      <w:pPr>
        <w:pStyle w:val="Ttulo2"/>
        <w:keepLines w:val="false"/>
        <w:numPr>
          <w:ilvl w:val="0"/>
          <w:numId w:val="1"/>
        </w:numPr>
        <w:rPr>
          <w:sz w:val="20"/>
          <w:szCs w:val="20"/>
          <w:u w:val="none"/>
        </w:rPr>
      </w:pPr>
      <w:bookmarkStart w:id="1" w:name="_5om47ksa6ta4"/>
      <w:bookmarkEnd w:id="1"/>
      <w:r>
        <w:rPr/>
        <w:t>DO OBJETO</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O objeto da presente licitação é a escolha da proposta mais vantajosa para a aquisição de maravalha para o Biotério Central da Universidade Federal de Alagoas, conforme condições, quantidades e exigências estabelecidas neste Edital e seus anexos.</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A licitação será dividida em itens, conforme tabela constante do Termo de Referência, facultando-se ao licitante a participação em quantos itens forem de seu interesse.</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O critério de julgamento adotado será o menor preço do item, observadas as exigências contidas neste Edital e seus Anexos quanto às especificações do objeto.</w:t>
      </w:r>
    </w:p>
    <w:p>
      <w:pPr>
        <w:pStyle w:val="Ttulo2"/>
        <w:numPr>
          <w:ilvl w:val="0"/>
          <w:numId w:val="1"/>
        </w:numPr>
        <w:spacing w:lineRule="auto" w:line="240" w:before="400" w:after="60"/>
        <w:ind w:left="720" w:hanging="360"/>
        <w:jc w:val="both"/>
        <w:rPr/>
      </w:pPr>
      <w:bookmarkStart w:id="2" w:name="_hfnzqm1zefoq"/>
      <w:bookmarkEnd w:id="2"/>
      <w:r>
        <w:rPr/>
        <w:t>DO REGISTRO DE PREÇOS</w:t>
      </w:r>
    </w:p>
    <w:p>
      <w:pPr>
        <w:pStyle w:val="Normal"/>
        <w:keepNext/>
        <w:keepLines w:val="false"/>
        <w:widowControl/>
        <w:numPr>
          <w:ilvl w:val="1"/>
          <w:numId w:val="1"/>
        </w:numPr>
        <w:pBdr/>
        <w:shd w:val="clear" w:fill="FFFFFF"/>
        <w:spacing w:lineRule="auto" w:line="240" w:before="60" w:after="60"/>
        <w:ind w:left="1417" w:right="0" w:hanging="425"/>
        <w:jc w:val="both"/>
        <w:rPr>
          <w:rFonts w:ascii="Arial" w:hAnsi="Arial" w:eastAsia="Arial" w:cs="Arial"/>
          <w:sz w:val="20"/>
          <w:szCs w:val="20"/>
        </w:rPr>
      </w:pPr>
      <w:r>
        <w:rPr>
          <w:rFonts w:eastAsia="Arial" w:cs="Arial" w:ascii="Arial" w:hAnsi="Arial"/>
          <w:sz w:val="20"/>
          <w:szCs w:val="20"/>
        </w:rPr>
        <w:t>As regras referentes aos órgãos gerenciador e participantes, bem como a eventuais adesões são as que constam da minuta de Ata de Registro de Preços;</w:t>
      </w:r>
    </w:p>
    <w:p>
      <w:pPr>
        <w:pStyle w:val="Ttulo2"/>
        <w:numPr>
          <w:ilvl w:val="0"/>
          <w:numId w:val="1"/>
        </w:numPr>
        <w:ind w:left="720" w:hanging="360"/>
        <w:rPr/>
      </w:pPr>
      <w:bookmarkStart w:id="3" w:name="_g5u5s4gegkzt"/>
      <w:bookmarkEnd w:id="3"/>
      <w:r>
        <w:rPr/>
        <w:t>DO CREDENCIAMENTO</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O Credenciamento é o nível básico do registro cadastral no SICAF, que permite a participação dos interessados na modalidade licitatória Pregão, em sua forma eletrônica.</w:t>
      </w:r>
    </w:p>
    <w:p>
      <w:pPr>
        <w:pStyle w:val="Normal"/>
        <w:numPr>
          <w:ilvl w:val="1"/>
          <w:numId w:val="1"/>
        </w:numPr>
        <w:shd w:fill="FFFFFF" w:val="clear"/>
        <w:spacing w:lineRule="auto" w:line="240" w:before="60" w:after="60"/>
        <w:ind w:left="1417" w:hanging="425"/>
        <w:jc w:val="both"/>
        <w:rPr/>
      </w:pPr>
      <w:r>
        <w:rPr>
          <w:rFonts w:eastAsia="Arial" w:cs="Arial" w:ascii="Arial" w:hAnsi="Arial"/>
          <w:sz w:val="20"/>
          <w:szCs w:val="20"/>
        </w:rPr>
        <w:t>O cadastro no SICAF deverá ser feito no Portal de Compras do Governo Federal, no sítio</w:t>
      </w:r>
      <w:hyperlink r:id="rId2">
        <w:r>
          <w:rPr>
            <w:rStyle w:val="LinkdaInternet"/>
            <w:rFonts w:eastAsia="Arial" w:cs="Arial" w:ascii="Arial" w:hAnsi="Arial"/>
            <w:sz w:val="20"/>
            <w:szCs w:val="20"/>
          </w:rPr>
          <w:t xml:space="preserve"> </w:t>
        </w:r>
      </w:hyperlink>
      <w:hyperlink r:id="rId3">
        <w:r>
          <w:rPr>
            <w:rStyle w:val="LinkdaInternet"/>
            <w:rFonts w:eastAsia="Arial" w:cs="Arial" w:ascii="Arial" w:hAnsi="Arial"/>
            <w:sz w:val="20"/>
            <w:szCs w:val="20"/>
          </w:rPr>
          <w:t>www.comprasgovernamentais.gov.br</w:t>
        </w:r>
      </w:hyperlink>
      <w:r>
        <w:rPr>
          <w:rFonts w:eastAsia="Arial" w:cs="Arial" w:ascii="Arial" w:hAnsi="Arial"/>
          <w:sz w:val="20"/>
          <w:szCs w:val="20"/>
        </w:rPr>
        <w:t>, por meio de certificado digital conferido pela Infraestrutura de Chaves Públicas Brasileira – ICP - Brasil.</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O credenciamento junto ao provedor do sistema implica a responsabilidade do licitante ou de seu representante legal e a presunção de sua capacidade técnica para realização das transações inerentes a este Pregão.</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É de responsabilidade exclusiva do licitante o uso adequado do sistema, cabendo-lhe zelar por todas as transações efetuadas diretamente ou por seu representante.</w:t>
      </w:r>
    </w:p>
    <w:p>
      <w:pPr>
        <w:pStyle w:val="Normal"/>
        <w:numPr>
          <w:ilvl w:val="1"/>
          <w:numId w:val="1"/>
        </w:numPr>
        <w:shd w:fill="FFFFFF" w:val="clear"/>
        <w:spacing w:lineRule="auto" w:line="240" w:before="60" w:after="60"/>
        <w:ind w:left="1417" w:hanging="425"/>
        <w:jc w:val="both"/>
        <w:rPr>
          <w:rFonts w:ascii="Arial" w:hAnsi="Arial" w:eastAsia="Arial" w:cs="Arial"/>
          <w:sz w:val="20"/>
          <w:szCs w:val="20"/>
        </w:rPr>
      </w:pPr>
      <w:r>
        <w:rPr>
          <w:rFonts w:eastAsia="Arial" w:cs="Arial" w:ascii="Arial" w:hAnsi="Arial"/>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2"/>
          <w:numId w:val="1"/>
        </w:numPr>
        <w:shd w:fill="FFFFFF" w:val="clear"/>
        <w:spacing w:lineRule="auto" w:line="240" w:before="60" w:after="60"/>
        <w:ind w:left="2125" w:hanging="283"/>
        <w:jc w:val="both"/>
        <w:rPr>
          <w:rFonts w:ascii="Arial" w:hAnsi="Arial" w:eastAsia="Arial" w:cs="Arial"/>
          <w:sz w:val="20"/>
          <w:szCs w:val="20"/>
          <w:u w:val="none"/>
        </w:rPr>
      </w:pPr>
      <w:r>
        <w:rPr>
          <w:rFonts w:eastAsia="Arial" w:cs="Arial" w:ascii="Arial" w:hAnsi="Arial"/>
          <w:sz w:val="20"/>
          <w:szCs w:val="20"/>
        </w:rPr>
        <w:t>A não observância do disposto no subitem anterior poderá ensejar desclassificação no momento da habilitação.</w:t>
      </w:r>
    </w:p>
    <w:p>
      <w:pPr>
        <w:pStyle w:val="Ttulo2"/>
        <w:numPr>
          <w:ilvl w:val="0"/>
          <w:numId w:val="1"/>
        </w:numPr>
        <w:ind w:left="720" w:hanging="360"/>
        <w:rPr/>
      </w:pPr>
      <w:bookmarkStart w:id="4" w:name="_ndp883likfsr"/>
      <w:bookmarkEnd w:id="4"/>
      <w:r>
        <w:rPr/>
        <w:t>DA PARTICIPAÇÃO NO PREGÃO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Os licitantes deverão utilizar o certificado digital para acesso ao Sistema.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Não poderão participar desta licitação os interessados: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proibidos de participar de licitações e celebrar contratos administrativos, na forma da legislação vigente;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não atendam às condições deste Edital e seu(s) anexo(s);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estrangeiros que não tenham representação legal no Brasil com poderes expressos para receber citação e responder administrativa ou judicialmente;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se enquadrem nas vedações previstas no artigo 9º da Lei nº 8.666, de 1993;</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estejam sob falência,  concurso de credores, concordata ou em processo de dissolução ou liquidação;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entidades empresariais que estejam reunidas em consórcio;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Organizações da Sociedade Civil de Interesse Público - OSCIP, atuando nessa condição (Acórdão nº 746/2014-TCU-Plenário).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Como condição para participação no Pregão, a licitante assinalará “sim” ou “não” em campo próprio do sistema eletrônico, relativo às seguintes declarações: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cumpre os requisitos estabelecidos no artigo 3° da Lei Complementar nº 123, de 2006, estando apta a usufruir do tratamento favorecido estabelecido em seus arts. 42 a 49;</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nos itens exclusivos para participação de microempresas e empresas de pequeno porte, a assinalação do campo “não” impedirá o prosseguimento no certame;</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está ciente e concorda com as condições contidas no Edital e seus anexos, bem como de que cumpre plenamente os requisitos de habilitação definidos no Edital;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inexistem fatos impeditivos para sua habilitação no certame, ciente da obrigatoriedade de declarar ocorrências posteriores;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não emprega menor de 18 anos em trabalho noturno, perigoso ou insalubre e não emprega menor de 16 anos, salvo menor, a partir de 14 anos, na condição de aprendiz, nos termos do artigo 7°, XXXIII, da Constituição;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a proposta foi elaborada de forma independente, nos termos da Instrução Normativa SLTI/MP nº 2, de 16 de setembro de 2009.</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não possui, em sua cadeia produtiva, empregados executando trabalho degradante ou forçado, observando o disposto nos incisos III e IV do art. 1º e no inciso III do art. 5º da Constituição Federal;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declaração falsa relativa ao cumprimento de qualquer condição sujeitará o licitante às sanções previstas em lei e neste Edital.</w:t>
      </w:r>
    </w:p>
    <w:p>
      <w:pPr>
        <w:pStyle w:val="Ttulo2"/>
        <w:numPr>
          <w:ilvl w:val="0"/>
          <w:numId w:val="1"/>
        </w:numPr>
        <w:ind w:left="720" w:hanging="360"/>
        <w:rPr/>
      </w:pPr>
      <w:bookmarkStart w:id="5" w:name="_y0vuu421zs7v"/>
      <w:bookmarkEnd w:id="5"/>
      <w:r>
        <w:rPr/>
        <w:t>DO ENVIO DA PROPOSTA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deverá encaminhar a proposta por meio do sistema eletrônico até a data e horário marcados para abertura da sessão, quando, então, encerrar-se-á automaticamente a fase de recebimento de propostas.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será responsável por todas as transações que forem efetuadas em seu nome no sistema eletrônico, assumindo como firmes e verdadeiras suas propostas 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 xml:space="preserve">Até a abertura da sessão, os licitantes poderão retirar ou substituir as propostas apresentadas. </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deverá enviar sua proposta mediante o preenchimento, no sistema eletrônico, dos seguintes campos: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Valor unitário e total do item;</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Marca;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Fabricante;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Descrição detalhada do objeto, contendo as informações similares à especificação do Termo de Referência: indicando, no que for aplicável, a composição do material, o prazo de validade e a embalagem do objeto</w:t>
      </w:r>
      <w:r>
        <w:rPr>
          <w:rFonts w:eastAsia="Arial" w:cs="Arial" w:ascii="Arial" w:hAnsi="Arial"/>
          <w:b/>
          <w:sz w:val="20"/>
          <w:szCs w:val="20"/>
          <w:u w:val="single"/>
        </w:rPr>
        <w:t>.</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Todas as especificações do objeto contidas na proposta vinculam a Contratada.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Nos valores propostos estarão inclusos todos os custos operacionais, encargos previdenciários, trabalhistas, tributários, comerciais e quaisquer outros que incidam direta ou indiretamente no fornecimento dos bens.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 xml:space="preserve">O prazo de </w:t>
      </w:r>
      <w:r>
        <w:rPr>
          <w:rFonts w:eastAsia="Arial" w:cs="Arial" w:ascii="Arial" w:hAnsi="Arial"/>
          <w:b/>
          <w:sz w:val="20"/>
          <w:szCs w:val="20"/>
        </w:rPr>
        <w:t>validade da proposta</w:t>
      </w:r>
      <w:r>
        <w:rPr>
          <w:rFonts w:eastAsia="Arial" w:cs="Arial" w:ascii="Arial" w:hAnsi="Arial"/>
          <w:sz w:val="20"/>
          <w:szCs w:val="20"/>
        </w:rPr>
        <w:t xml:space="preserve"> não será inferior a 120 (cento e vinte) dias</w:t>
      </w:r>
      <w:r>
        <w:rPr>
          <w:rFonts w:eastAsia="Arial" w:cs="Arial" w:ascii="Arial" w:hAnsi="Arial"/>
          <w:b/>
          <w:sz w:val="20"/>
          <w:szCs w:val="20"/>
        </w:rPr>
        <w:t>,</w:t>
      </w:r>
      <w:r>
        <w:rPr>
          <w:rFonts w:eastAsia="Arial" w:cs="Arial" w:ascii="Arial" w:hAnsi="Arial"/>
          <w:sz w:val="20"/>
          <w:szCs w:val="20"/>
        </w:rPr>
        <w:t xml:space="preserve"> a contar da data de sua apresentação.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licitantes devem respeitar os preços máximos estabelecidos nas normas de regência de contratações públicas federais, quando participarem de licitações públicas (Acórdão nº 1455/2018 -TCU - Plenário);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Ttulo2"/>
        <w:numPr>
          <w:ilvl w:val="0"/>
          <w:numId w:val="1"/>
        </w:numPr>
        <w:ind w:left="720" w:hanging="360"/>
        <w:rPr/>
      </w:pPr>
      <w:bookmarkStart w:id="6" w:name="_apbhjqsdj14i"/>
      <w:bookmarkEnd w:id="6"/>
      <w:r>
        <w:rPr/>
        <w:t>DA ABERTURA DA SESSÃO, CLASSIFICAÇÃO DAS PROPOSTAS E FORMULAÇÃO DE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abertura da presente licitação dar-se-á em sessão pública, por meio de sistema eletrônico, na data, horário e local indicados neste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 Referência.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Também será desclassificada a proposta que identifique o licitante.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desclassificação será sempre fundamentada e registrada no sistema, com acompanhamento em tempo real por todos os participantes.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não desclassificação da proposta não impede o seu julgamento definitivo em sentido contrário, levado a efeito na fase de aceitação.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sistema ordenará automaticamente as propostas classificadas, sendo que somente estas participarão da fase de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sistema disponibilizará campo próprio para troca de mensagens entre o Pregoeiro e os licitantes.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Iniciada a etapa competitiva, os licitantes deverão encaminhar lances exclusivamente por meio do sistema eletrônico, sendo imediatamente informados do seu recebimento e do valor consignado no registro.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 lance deverá ser ofertado pelo valor do item.</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licitantes poderão oferecer lances sucessivos, observando o horário fixado para abertura da sessão e as regras estabelecidas no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somente poderá oferecer lance inferior ao último por ele ofertado e registrado pelo sistema.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Em caso de falha no sistema, os lances em desacordo com o subitem anterior deverão ser desconsiderados pelo pregoeiro, devendo a ocorrência ser comunicada imediatamente à Secretaria de Gestão do Ministério do Planejamento, Desenvolvimento e Gestão;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Na hipótese do subitem anterior, a ocorrência será registrada em campo próprio do sistema.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Não serão aceitos dois ou mais lances de mesmo valor, prevalecendo aquele que for recebido e registrado em primeiro lugar.</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Durante o transcurso da sessão pública, os licitantes serão informados, em tempo real, do valor do menor lance registrado, vedada a identificação do licitante.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No caso de desconexão com o Pregoeiro, no decorrer da etapa competitiva do Pregão, o sistema eletrônico poderá permanecer acessível aos licitantes para a recepção dos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 a desconexão perdurar por tempo superior a 10 (dez) minutos, a sessão será suspensa e terá reinício somente após comunicação expressa do Pregoeiro aos participantes.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Critério de julgamento adotado será o menor preço, conforme definido neste Edital e seus anexos.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Caso o licitante não apresente lances, concorrerá com o valor de sua proposta e, na hipótese de desistência de apresentar outros lances, valerá o último lance por ele ofertado, para efeito de ordenação das propostas.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Nessas condições, as propostas de microempresas e empresas de pequeno porte que se encontrarem na faixa de até 5% (cinco por cento) acima da proposta ou lance de menor preço serão consideradas empatadas com a primeira colocada.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Quando houver propostas beneficiadas com as margens de preferência em relação ao produto estrangeiro, o critério de desempate será aplicado exclusivamente entre as propostas que fizerem jus às margens de preferência, conforme regulamento.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Só se considera empate entre propostas iguais, não seguidas de lances. Lances equivalentes não serão considerados iguais, uma vez que a ordem de apresentação pelos licitantes é utilizada como um dos critérios de classificação.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Havendo eventual empate entre propostas, o critério de desempate será aquele previsto no art. 3º, § 2º, da Lei nº 8.666, de 1993, assegurando-se a preferência, sucessivamente, aos bens fornecidos: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por empresas brasileiras;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por empresas que invistam em pesquisa e no desenvolvimento de tecnologia no País;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por empresas que comprovem cumprimento de reserva de cargos prevista em lei para pessoa com deficiência ou para reabilitado da Previdência Social e que atendam às regras de acessibilidade previstas na legislação.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Persistindo o empate entre propostas, será aplicado o sorteio como critério de desempate.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b/>
          <w:color w:val="00000A"/>
          <w:sz w:val="20"/>
          <w:szCs w:val="20"/>
        </w:rPr>
        <w:t>6.26.</w:t>
      </w:r>
      <w:r>
        <w:rPr>
          <w:rFonts w:eastAsia="Arial" w:cs="Arial" w:ascii="Arial" w:hAnsi="Arial"/>
          <w:color w:val="00000A"/>
          <w:sz w:val="20"/>
          <w:szCs w:val="20"/>
        </w:rPr>
        <w:t xml:space="preserve">             </w:t>
      </w:r>
      <w:r>
        <w:rPr>
          <w:rFonts w:eastAsia="Arial" w:cs="Arial" w:ascii="Arial" w:hAnsi="Arial"/>
          <w:sz w:val="20"/>
          <w:szCs w:val="20"/>
        </w:rPr>
        <w:t>Apurada a proposta final classificada em primeiro lugar, o Pregoeiro poderá encaminhar, pelo sistema eletrônico, contraproposta ao licitante para que seja obtido melhor preço, observado o critério de julgamento, não se admitindo negociar condições diferentes daquelas previstas neste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negociação será realizada por meio do sistema, podendo ser acompanhada pelos demais licitantes.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Após a negociação do preço, o Pregoeiro iniciará a fase de aceitação e julgamento da proposta.</w:t>
      </w:r>
    </w:p>
    <w:p>
      <w:pPr>
        <w:pStyle w:val="Ttulo2"/>
        <w:numPr>
          <w:ilvl w:val="0"/>
          <w:numId w:val="1"/>
        </w:numPr>
        <w:ind w:left="720" w:hanging="360"/>
        <w:rPr/>
      </w:pPr>
      <w:bookmarkStart w:id="7" w:name="_9y20loe8jii0"/>
      <w:bookmarkEnd w:id="7"/>
      <w:r>
        <w:rPr/>
        <w:t>DA ACEITABILIDADE DA PROPOSTA VENCEDORA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Encerrada a etapa de lances e depois da verificação de possível empate, o Pregoeiro examinará a proposta classificada em primeiro lugar quanto ao preço, a sua exequibilidade, bem como quanto ao cumprimento das especificações do objeto.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Será desclassificada a proposta ou o lance vencedor com valor superior ao preço máximo fixado ou que apresentar preço manifestamente inexequível.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Pregoeiro poderá convocar o licitante para enviar documento digital, por meio de funcionalidade disponível no sistema, estabelecendo no “chat” prazo razoável para tanto, sob pena de não aceitação da proposta.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 xml:space="preserve">Dentre os documentos passíveis de solicitação pelo Pregoeiro, destacam-se os que contenham as </w:t>
      </w:r>
      <w:r>
        <w:rPr>
          <w:rFonts w:eastAsia="Arial" w:cs="Arial" w:ascii="Arial" w:hAnsi="Arial"/>
          <w:b/>
          <w:sz w:val="20"/>
          <w:szCs w:val="20"/>
        </w:rPr>
        <w:t>características do material ofertado</w:t>
      </w:r>
      <w:r>
        <w:rPr>
          <w:rFonts w:eastAsia="Arial" w:cs="Arial" w:ascii="Arial" w:hAnsi="Arial"/>
          <w:sz w:val="20"/>
          <w:szCs w:val="20"/>
        </w:rPr>
        <w:t xml:space="preserve">, tais como marca, modelo, tipo, fabricante e procedência, além de outras informações pertinentes como </w:t>
      </w:r>
      <w:r>
        <w:rPr>
          <w:rFonts w:eastAsia="Arial" w:cs="Arial" w:ascii="Arial" w:hAnsi="Arial"/>
          <w:b/>
          <w:sz w:val="20"/>
          <w:szCs w:val="20"/>
        </w:rPr>
        <w:t>preço de custo</w:t>
      </w:r>
      <w:r>
        <w:rPr>
          <w:rFonts w:eastAsia="Arial" w:cs="Arial" w:ascii="Arial" w:hAnsi="Arial"/>
          <w:sz w:val="20"/>
          <w:szCs w:val="20"/>
        </w:rPr>
        <w:t>, a exemplo de catálogos, folhetos, propostas ou notas fiscais, encaminhados por meio eletrônico, ou, se for o caso, por outro meio e prazo indicados pelo Pregoeiro, sem prejuízo do seu ulterior envio pelo sistema eletrônico, sob pena de não aceitação da proposta.</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O prazo estabelecido pelo Pregoeiro poderá ser prorrogado por solicitação escrita e justificada do licitante, formulada antes de findo o prazo estabelecido, e formalmente aceita pelo Pregoeiro.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 a proposta ou lance vencedor for desclassificado, o Pregoeiro examinará a proposta ou lance subsequente, e, assim sucessivamente, na ordem de classificação.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Havendo necessidade, o Pregoeiro suspenderá a sessão, informando no “</w:t>
      </w:r>
      <w:r>
        <w:rPr>
          <w:rFonts w:eastAsia="Arial" w:cs="Arial" w:ascii="Arial" w:hAnsi="Arial"/>
          <w:i/>
          <w:sz w:val="20"/>
          <w:szCs w:val="20"/>
        </w:rPr>
        <w:t>chat</w:t>
      </w:r>
      <w:r>
        <w:rPr>
          <w:rFonts w:eastAsia="Arial" w:cs="Arial" w:ascii="Arial" w:hAnsi="Arial"/>
          <w:sz w:val="20"/>
          <w:szCs w:val="20"/>
        </w:rPr>
        <w:t>” a nova data e horário para a sua continuidade.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Também nas hipóteses em que o Pregoeiro não aceitar a proposta e passar à subsequente, poderá negociar com o licitante para que seja obtido preço melhor.</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negociação será realizada por meio do sistema, podendo ser acompanhada pelos demais licitantes.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1"/>
        </w:numPr>
        <w:shd w:fill="FFFFFF" w:val="clear"/>
        <w:spacing w:lineRule="auto" w:line="240" w:before="60" w:after="60"/>
        <w:ind w:left="1440" w:right="-20" w:hanging="360"/>
        <w:jc w:val="both"/>
        <w:rPr>
          <w:rFonts w:ascii="Arial" w:hAnsi="Arial" w:eastAsia="Arial" w:cs="Arial"/>
          <w:sz w:val="20"/>
          <w:szCs w:val="20"/>
        </w:rPr>
      </w:pPr>
      <w:r>
        <w:rPr>
          <w:rFonts w:eastAsia="Arial" w:cs="Arial" w:ascii="Arial" w:hAnsi="Arial"/>
          <w:sz w:val="20"/>
          <w:szCs w:val="20"/>
        </w:rPr>
        <w:t>Aceita a proposta classificada em primeiro lugar, o licitante deverá comprovar sua condição de habilitação, na forma determinada neste Edital.</w:t>
      </w:r>
    </w:p>
    <w:p>
      <w:pPr>
        <w:pStyle w:val="Normal"/>
        <w:shd w:fill="FFFFFF" w:val="clear"/>
        <w:spacing w:lineRule="auto" w:line="240" w:before="60" w:after="60"/>
        <w:ind w:right="-20" w:hanging="0"/>
        <w:jc w:val="both"/>
        <w:rPr>
          <w:rFonts w:ascii="Arial" w:hAnsi="Arial" w:eastAsia="Arial" w:cs="Arial"/>
          <w:sz w:val="20"/>
          <w:szCs w:val="20"/>
        </w:rPr>
      </w:pPr>
      <w:r>
        <w:rPr>
          <w:rFonts w:eastAsia="Arial" w:cs="Arial" w:ascii="Arial" w:hAnsi="Arial"/>
          <w:sz w:val="20"/>
          <w:szCs w:val="20"/>
        </w:rPr>
      </w:r>
    </w:p>
    <w:p>
      <w:pPr>
        <w:pStyle w:val="Ttulo2"/>
        <w:numPr>
          <w:ilvl w:val="0"/>
          <w:numId w:val="1"/>
        </w:numPr>
        <w:ind w:left="720" w:hanging="360"/>
        <w:rPr/>
      </w:pPr>
      <w:bookmarkStart w:id="8" w:name="_jjl440fc6yrz"/>
      <w:bookmarkEnd w:id="8"/>
      <w:r>
        <w:rPr/>
        <w:t xml:space="preserve">DA HABILITAÇÃO </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SICAF;</w:t>
      </w:r>
    </w:p>
    <w:p>
      <w:pPr>
        <w:pStyle w:val="Normal"/>
        <w:numPr>
          <w:ilvl w:val="2"/>
          <w:numId w:val="1"/>
        </w:numPr>
        <w:shd w:fill="FFFFFF" w:val="clear"/>
        <w:spacing w:lineRule="auto" w:line="240" w:before="60" w:after="60"/>
        <w:ind w:left="2160" w:hanging="360"/>
        <w:jc w:val="both"/>
        <w:rPr/>
      </w:pPr>
      <w:r>
        <w:rPr>
          <w:rFonts w:eastAsia="Arial" w:cs="Arial" w:ascii="Arial" w:hAnsi="Arial"/>
          <w:sz w:val="20"/>
          <w:szCs w:val="20"/>
        </w:rPr>
        <w:t>Cadastro Nacional de Empresas Inidôneas e Suspensas – CEIS, mantido pela Controladoria-Geral da União (</w:t>
      </w:r>
      <w:hyperlink r:id="rId4">
        <w:r>
          <w:rPr>
            <w:rStyle w:val="LinkdaInternet"/>
            <w:rFonts w:eastAsia="Arial" w:cs="Arial" w:ascii="Arial" w:hAnsi="Arial"/>
            <w:color w:val="0000FF"/>
            <w:sz w:val="20"/>
            <w:szCs w:val="20"/>
            <w:u w:val="single"/>
          </w:rPr>
          <w:t>www.portaldatransparencia.gov.br/ceis</w:t>
        </w:r>
      </w:hyperlink>
      <w:r>
        <w:rPr>
          <w:rFonts w:eastAsia="Arial" w:cs="Arial" w:ascii="Arial" w:hAnsi="Arial"/>
          <w:sz w:val="20"/>
          <w:szCs w:val="20"/>
        </w:rPr>
        <w:t>);</w:t>
      </w:r>
    </w:p>
    <w:p>
      <w:pPr>
        <w:pStyle w:val="Normal"/>
        <w:numPr>
          <w:ilvl w:val="2"/>
          <w:numId w:val="1"/>
        </w:numPr>
        <w:shd w:fill="FFFFFF" w:val="clear"/>
        <w:spacing w:lineRule="auto" w:line="240" w:before="60" w:after="60"/>
        <w:ind w:left="2160" w:hanging="360"/>
        <w:jc w:val="both"/>
        <w:rPr/>
      </w:pPr>
      <w:r>
        <w:rPr>
          <w:rFonts w:eastAsia="Arial" w:cs="Arial" w:ascii="Arial" w:hAnsi="Arial"/>
          <w:sz w:val="20"/>
          <w:szCs w:val="20"/>
        </w:rPr>
        <w:t>Cadastro Nacional de Condenações Cíveis por Atos de Improbidade Administrativa e Inelegibilidade mantido pelo Conselho Nacional de Justiça (</w:t>
      </w:r>
      <w:hyperlink r:id="rId5">
        <w:r>
          <w:rPr>
            <w:rStyle w:val="LinkdaInternet"/>
            <w:rFonts w:eastAsia="Arial" w:cs="Arial" w:ascii="Arial" w:hAnsi="Arial"/>
            <w:color w:val="0000FF"/>
            <w:sz w:val="20"/>
            <w:szCs w:val="20"/>
            <w:u w:val="single"/>
          </w:rPr>
          <w:t>www.cnj.jus.br/improbidade_adm/consultar_requerido.php</w:t>
        </w:r>
      </w:hyperlink>
      <w:r>
        <w:rPr>
          <w:rFonts w:eastAsia="Arial" w:cs="Arial" w:ascii="Arial" w:hAnsi="Arial"/>
          <w:sz w:val="20"/>
          <w:szCs w:val="20"/>
        </w:rPr>
        <w:t>).</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Lista de Inidôneos  e o Cadastro Integrado de Condenações por Ilícitos Administrativos - CADICON, mantidos pelo Tribunal de Contas da União – TCU;</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A tentativa de burla será verificada por meio dos vínculos societários, linhas de fornecimento similares, dentre outros.</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O licitante será convocado para manifestação previamente à sua desclassificação.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Constatada a existência de sanção, o Pregoeiro reputará o licitante inabilitado, por falta de condição de participação.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arts.10, 11, 12, 13, 14, 15 e 16 da Instrução Normativa SEGES/MP nº 03, de 2018.</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Também poderão ser consultados os sítios oficiais emissores de certidões, especialmente quando o licitante esteja com alguma documentação vencida junto ao SICAF.</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Caso o Pregoeiro não logre êxito em obter a certidão correspondente por meio do sítio oficial, ou na hipótese de ela se encontrar vencida no referido sistema, o licitante será convocado a encaminhar, no prazo de 02 (duas) horas, documento válido que comprove o atendimento das exigências deste Edital, sob pena de inabilitação.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As Microempresas e Empresas de Pequeno Porte deverão encaminhar a documentação de habilitação, ainda que haja alguma restrição, nos termos do art. 43, § 1º da LC nº 123, de 2006.</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a Qualificação Econômico-Financeira, nas condições descritas adiante.</w:t>
      </w:r>
    </w:p>
    <w:p>
      <w:pPr>
        <w:pStyle w:val="Normal"/>
        <w:numPr>
          <w:ilvl w:val="1"/>
          <w:numId w:val="1"/>
        </w:numPr>
        <w:shd w:fill="FFFFFF" w:val="clear"/>
        <w:spacing w:lineRule="auto" w:line="240" w:before="120" w:after="60"/>
        <w:ind w:left="1440" w:hanging="360"/>
        <w:jc w:val="both"/>
        <w:rPr>
          <w:rFonts w:ascii="Arial" w:hAnsi="Arial" w:eastAsia="Arial" w:cs="Arial"/>
          <w:sz w:val="20"/>
          <w:szCs w:val="20"/>
        </w:rPr>
      </w:pPr>
      <w:r>
        <w:rPr>
          <w:rFonts w:eastAsia="Arial" w:cs="Arial" w:ascii="Arial" w:hAnsi="Arial"/>
          <w:b/>
          <w:sz w:val="20"/>
          <w:szCs w:val="20"/>
        </w:rPr>
        <w:t>Habilitação jurídica: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empresário individual: inscrição no Registro Público de Empresas Mercantis, a cargo da Junta Comercial da respectiva sede;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b/>
          <w:color w:val="00000A"/>
          <w:sz w:val="20"/>
          <w:szCs w:val="20"/>
        </w:rPr>
        <w:t>i</w:t>
      </w:r>
      <w:r>
        <w:rPr>
          <w:rFonts w:eastAsia="Arial" w:cs="Arial" w:ascii="Arial" w:hAnsi="Arial"/>
          <w:sz w:val="20"/>
          <w:szCs w:val="20"/>
        </w:rPr>
        <w:t>nscrição no Registro Público de Empresas Mercantis onde opera, com averbação no Registro onde tem sede a matriz, no caso de ser o participante sucursal, filial ou agência;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sociedade simples: inscrição do ato constitutivo no Registro Civil das Pessoas Jurídicas do local de sua sede, acompanhada de prova da indicação dos seus administradores;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produtor rural: matrícula no Cadastro Específico do INSS – CEI, que comprove a qualificação como produtor rural pessoa física, nos termos da Instrução Normativa RFB n. 971, de 2009 (arts. 17 a 19 e 165).</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 caso de empresa ou sociedade estrangeira em funcionamento no País: decreto de autorização;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Os documentos acima deverão estar acompanhados de todas as alterações ou da consolidação respectiva;</w:t>
      </w:r>
    </w:p>
    <w:p>
      <w:pPr>
        <w:pStyle w:val="Normal"/>
        <w:numPr>
          <w:ilvl w:val="1"/>
          <w:numId w:val="1"/>
        </w:numPr>
        <w:shd w:fill="FFFFFF" w:val="clear"/>
        <w:spacing w:lineRule="auto" w:line="240" w:before="120" w:after="60"/>
        <w:ind w:left="1440" w:hanging="360"/>
        <w:jc w:val="both"/>
        <w:rPr>
          <w:rFonts w:ascii="Arial" w:hAnsi="Arial" w:eastAsia="Arial" w:cs="Arial"/>
          <w:sz w:val="20"/>
          <w:szCs w:val="20"/>
        </w:rPr>
      </w:pPr>
      <w:r>
        <w:rPr>
          <w:rFonts w:eastAsia="Arial" w:cs="Arial" w:ascii="Arial" w:hAnsi="Arial"/>
          <w:b/>
          <w:sz w:val="20"/>
          <w:szCs w:val="20"/>
        </w:rPr>
        <w:t>Regularidade fiscal e trabalhista</w:t>
      </w:r>
      <w:r>
        <w:rPr>
          <w:rFonts w:eastAsia="Arial" w:cs="Arial" w:ascii="Arial" w:hAnsi="Arial"/>
          <w:b/>
          <w:color w:val="0000FF"/>
          <w:sz w:val="20"/>
          <w:szCs w:val="20"/>
        </w:rPr>
        <w:t>:</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prova de inscrição no Cadastro Nacional de Pessoas Jurídicas ou no Cadastro de Pessoas Físicas, conforme o caso;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prova de regularidade com o Fundo de Garantia do Tempo de Serviço (FGTS);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prova de inscrição no cadastro de contribuintes estadual, relativo ao domicílio ou sede do licitante, pertinente ao seu ramo de atividade e compatível com o objeto contratual;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prova de regularidade com a Fazenda Estadual do domicílio ou sede do licitante, relativa à atividade em cujo exercício contrata ou concorre;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caso o licitante seja considerado isento dos tributos municipais relacionados ao objeto licitatório, deverá comprovar tal condição mediante declaração da Fazenda Municipal do seu domicílio ou sede, ou outra equivalente, na forma da lei;</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pPr>
        <w:pStyle w:val="Normal"/>
        <w:numPr>
          <w:ilvl w:val="1"/>
          <w:numId w:val="1"/>
        </w:numPr>
        <w:shd w:fill="FFFFFF" w:val="clear"/>
        <w:spacing w:lineRule="auto" w:line="240" w:before="120" w:after="60"/>
        <w:ind w:left="1440" w:hanging="360"/>
        <w:jc w:val="both"/>
        <w:rPr>
          <w:rFonts w:ascii="Arial" w:hAnsi="Arial" w:eastAsia="Arial" w:cs="Arial"/>
          <w:sz w:val="20"/>
          <w:szCs w:val="20"/>
        </w:rPr>
      </w:pPr>
      <w:r>
        <w:rPr>
          <w:rFonts w:eastAsia="Arial" w:cs="Arial" w:ascii="Arial" w:hAnsi="Arial"/>
          <w:b/>
          <w:sz w:val="20"/>
          <w:szCs w:val="20"/>
        </w:rPr>
        <w:t>Qualificação  Econômico-Financeira</w:t>
      </w:r>
      <w:r>
        <w:rPr>
          <w:rFonts w:eastAsia="Arial" w:cs="Arial" w:ascii="Arial" w:hAnsi="Arial"/>
          <w:sz w:val="20"/>
          <w:szCs w:val="20"/>
        </w:rPr>
        <w:t>.</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certidão negativa de falência  expedida pelo distribuidor da sede da pessoa jurídica;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no caso de empresa constituída no exercício social vigente, admite-se a apresentação de balanço patrimonial e demonstrações contábeis referentes ao período de existência da sociedade;</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é admissível o balanço intermediário, se decorrer de lei ou contrato social/estatuto social.</w:t>
      </w:r>
    </w:p>
    <w:p>
      <w:pPr>
        <w:pStyle w:val="Normal"/>
        <w:numPr>
          <w:ilvl w:val="3"/>
          <w:numId w:val="1"/>
        </w:numPr>
        <w:shd w:fill="FFFFFF" w:val="clear"/>
        <w:spacing w:lineRule="auto" w:line="240" w:before="60" w:after="60"/>
        <w:ind w:left="2880" w:hanging="360"/>
        <w:jc w:val="both"/>
        <w:rPr>
          <w:rFonts w:ascii="Arial" w:hAnsi="Arial" w:eastAsia="Arial" w:cs="Arial"/>
          <w:sz w:val="20"/>
          <w:szCs w:val="20"/>
          <w:u w:val="none"/>
        </w:rPr>
      </w:pPr>
      <w:r>
        <w:rPr>
          <w:rFonts w:eastAsia="Arial" w:cs="Arial" w:ascii="Arial" w:hAnsi="Arial"/>
          <w:sz w:val="2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comprovação da situação financeira da empresa será constatada mediante obtenção de índices de Liquidez Geral (LG), Solvência Geral (SG) e Liquidez Corrente (LC), superiores a 1 ( um) resultantes da aplicação das fórmulas:</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r>
    </w:p>
    <w:tbl>
      <w:tblPr>
        <w:tblStyle w:val="Table1"/>
        <w:tblW w:w="7425" w:type="dxa"/>
        <w:jc w:val="center"/>
        <w:tblInd w:w="0" w:type="dxa"/>
        <w:tblBorders/>
        <w:tblCellMar>
          <w:top w:w="100" w:type="dxa"/>
          <w:left w:w="120" w:type="dxa"/>
          <w:bottom w:w="100" w:type="dxa"/>
          <w:right w:w="100" w:type="dxa"/>
        </w:tblCellMar>
        <w:tblLook w:val="0600"/>
      </w:tblPr>
      <w:tblGrid>
        <w:gridCol w:w="2234"/>
        <w:gridCol w:w="5190"/>
      </w:tblGrid>
      <w:tr>
        <w:trPr>
          <w:trHeight w:val="440" w:hRule="atLeast"/>
        </w:trPr>
        <w:tc>
          <w:tcPr>
            <w:tcW w:w="2234" w:type="dxa"/>
            <w:vMerge w:val="restart"/>
            <w:tcBorders/>
            <w:shd w:fill="auto" w:val="clear"/>
          </w:tcPr>
          <w:p>
            <w:pPr>
              <w:pStyle w:val="Normal"/>
              <w:shd w:fill="FFFFFF" w:val="clear"/>
              <w:spacing w:lineRule="auto" w:line="240" w:before="60" w:after="60"/>
              <w:ind w:left="144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1417" w:right="0" w:hanging="0"/>
              <w:jc w:val="center"/>
              <w:rPr>
                <w:rFonts w:ascii="Arial" w:hAnsi="Arial" w:eastAsia="Arial" w:cs="Arial"/>
                <w:sz w:val="20"/>
                <w:szCs w:val="20"/>
              </w:rPr>
            </w:pPr>
            <w:r>
              <w:rPr>
                <w:rFonts w:eastAsia="Arial" w:cs="Arial" w:ascii="Arial" w:hAnsi="Arial"/>
                <w:sz w:val="20"/>
                <w:szCs w:val="20"/>
              </w:rPr>
              <w:t>LG =</w:t>
            </w:r>
          </w:p>
        </w:tc>
        <w:tc>
          <w:tcPr>
            <w:tcW w:w="5190" w:type="dxa"/>
            <w:tcBorders>
              <w:bottom w:val="single" w:sz="8" w:space="0" w:color="000001"/>
              <w:insideH w:val="single" w:sz="8" w:space="0" w:color="000001"/>
            </w:tcBorders>
            <w:shd w:fill="auto" w:val="clear"/>
            <w:vAlign w:val="bottom"/>
          </w:tcPr>
          <w:p>
            <w:pPr>
              <w:pStyle w:val="Normal"/>
              <w:shd w:fill="FFFFFF" w:val="clear"/>
              <w:spacing w:lineRule="auto" w:line="240" w:before="60" w:after="60"/>
              <w:ind w:left="-141" w:right="12" w:hanging="0"/>
              <w:jc w:val="center"/>
              <w:rPr>
                <w:rFonts w:ascii="Arial" w:hAnsi="Arial" w:eastAsia="Arial" w:cs="Arial"/>
                <w:sz w:val="20"/>
                <w:szCs w:val="20"/>
              </w:rPr>
            </w:pPr>
            <w:r>
              <w:rPr>
                <w:rFonts w:eastAsia="Arial" w:cs="Arial" w:ascii="Arial" w:hAnsi="Arial"/>
                <w:sz w:val="20"/>
                <w:szCs w:val="20"/>
              </w:rPr>
              <w:t>Ativo Circulante + Realizável a Longo Prazo</w:t>
            </w:r>
          </w:p>
        </w:tc>
      </w:tr>
      <w:tr>
        <w:trPr>
          <w:trHeight w:val="440" w:hRule="atLeast"/>
        </w:trPr>
        <w:tc>
          <w:tcPr>
            <w:tcW w:w="2234" w:type="dxa"/>
            <w:vMerge w:val="continue"/>
            <w:tcBorders/>
            <w:shd w:fill="auto" w:val="clear"/>
            <w:tcMar>
              <w:left w:w="100" w:type="dxa"/>
            </w:tcMar>
          </w:tcPr>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r>
          </w:p>
        </w:tc>
        <w:tc>
          <w:tcPr>
            <w:tcW w:w="5190" w:type="dxa"/>
            <w:tcBorders>
              <w:top w:val="single" w:sz="8" w:space="0" w:color="000001"/>
            </w:tcBorders>
            <w:shd w:fill="auto" w:val="clear"/>
          </w:tcPr>
          <w:p>
            <w:pPr>
              <w:pStyle w:val="Normal"/>
              <w:shd w:fill="FFFFFF" w:val="clear"/>
              <w:spacing w:lineRule="auto" w:line="240" w:before="60" w:after="60"/>
              <w:ind w:left="-141" w:hanging="0"/>
              <w:jc w:val="center"/>
              <w:rPr>
                <w:rFonts w:ascii="Arial" w:hAnsi="Arial" w:eastAsia="Arial" w:cs="Arial"/>
                <w:sz w:val="20"/>
                <w:szCs w:val="20"/>
              </w:rPr>
            </w:pPr>
            <w:r>
              <w:rPr>
                <w:rFonts w:eastAsia="Arial" w:cs="Arial" w:ascii="Arial" w:hAnsi="Arial"/>
                <w:sz w:val="20"/>
                <w:szCs w:val="20"/>
              </w:rPr>
              <w:t>Passivo Circulante + Passivo Não Circulante</w:t>
            </w:r>
          </w:p>
        </w:tc>
      </w:tr>
    </w:tbl>
    <w:p>
      <w:pPr>
        <w:pStyle w:val="Normal"/>
        <w:shd w:fill="FFFFFF" w:val="clear"/>
        <w:spacing w:lineRule="auto" w:line="240" w:before="60" w:after="60"/>
        <w:ind w:left="0" w:hanging="0"/>
        <w:jc w:val="center"/>
        <w:rPr>
          <w:rFonts w:ascii="Arial" w:hAnsi="Arial" w:eastAsia="Arial" w:cs="Arial"/>
          <w:sz w:val="20"/>
          <w:szCs w:val="20"/>
        </w:rPr>
      </w:pPr>
      <w:r>
        <w:rPr>
          <w:rFonts w:eastAsia="Arial" w:cs="Arial" w:ascii="Arial" w:hAnsi="Arial"/>
          <w:sz w:val="20"/>
          <w:szCs w:val="20"/>
        </w:rPr>
      </w:r>
    </w:p>
    <w:tbl>
      <w:tblPr>
        <w:tblStyle w:val="Table2"/>
        <w:tblW w:w="7365" w:type="dxa"/>
        <w:jc w:val="center"/>
        <w:tblInd w:w="0" w:type="dxa"/>
        <w:tblBorders/>
        <w:tblCellMar>
          <w:top w:w="100" w:type="dxa"/>
          <w:left w:w="120" w:type="dxa"/>
          <w:bottom w:w="100" w:type="dxa"/>
          <w:right w:w="100" w:type="dxa"/>
        </w:tblCellMar>
        <w:tblLook w:val="0600"/>
      </w:tblPr>
      <w:tblGrid>
        <w:gridCol w:w="2250"/>
        <w:gridCol w:w="5114"/>
      </w:tblGrid>
      <w:tr>
        <w:trPr>
          <w:trHeight w:val="440" w:hRule="atLeast"/>
        </w:trPr>
        <w:tc>
          <w:tcPr>
            <w:tcW w:w="2250" w:type="dxa"/>
            <w:vMerge w:val="restart"/>
            <w:tcBorders/>
            <w:shd w:fill="auto" w:val="clear"/>
          </w:tcPr>
          <w:p>
            <w:pPr>
              <w:pStyle w:val="Normal"/>
              <w:shd w:fill="FFFFFF" w:val="clear"/>
              <w:spacing w:lineRule="auto" w:line="240" w:before="60" w:after="60"/>
              <w:ind w:left="144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1440" w:hanging="0"/>
              <w:jc w:val="center"/>
              <w:rPr>
                <w:rFonts w:ascii="Arial" w:hAnsi="Arial" w:eastAsia="Arial" w:cs="Arial"/>
                <w:sz w:val="20"/>
                <w:szCs w:val="20"/>
              </w:rPr>
            </w:pPr>
            <w:r>
              <w:rPr>
                <w:rFonts w:eastAsia="Arial" w:cs="Arial" w:ascii="Arial" w:hAnsi="Arial"/>
                <w:sz w:val="20"/>
                <w:szCs w:val="20"/>
              </w:rPr>
              <w:t>SG =</w:t>
            </w:r>
          </w:p>
        </w:tc>
        <w:tc>
          <w:tcPr>
            <w:tcW w:w="5114" w:type="dxa"/>
            <w:tcBorders>
              <w:bottom w:val="single" w:sz="8" w:space="0" w:color="000001"/>
              <w:insideH w:val="single" w:sz="8" w:space="0" w:color="000001"/>
            </w:tcBorders>
            <w:shd w:fill="auto" w:val="clear"/>
            <w:vAlign w:val="bottom"/>
          </w:tcPr>
          <w:p>
            <w:pPr>
              <w:pStyle w:val="Normal"/>
              <w:shd w:fill="FFFFFF" w:val="clear"/>
              <w:spacing w:lineRule="auto" w:line="240" w:before="60" w:after="60"/>
              <w:ind w:left="0" w:hanging="0"/>
              <w:jc w:val="center"/>
              <w:rPr>
                <w:rFonts w:ascii="Arial" w:hAnsi="Arial" w:eastAsia="Arial" w:cs="Arial"/>
                <w:sz w:val="20"/>
                <w:szCs w:val="20"/>
              </w:rPr>
            </w:pPr>
            <w:r>
              <w:rPr>
                <w:rFonts w:eastAsia="Arial" w:cs="Arial" w:ascii="Arial" w:hAnsi="Arial"/>
                <w:sz w:val="20"/>
                <w:szCs w:val="20"/>
              </w:rPr>
              <w:t>Ativo Total</w:t>
            </w:r>
          </w:p>
        </w:tc>
      </w:tr>
      <w:tr>
        <w:trPr>
          <w:trHeight w:val="440" w:hRule="atLeast"/>
        </w:trPr>
        <w:tc>
          <w:tcPr>
            <w:tcW w:w="2250" w:type="dxa"/>
            <w:vMerge w:val="continue"/>
            <w:tcBorders/>
            <w:shd w:fill="auto" w:val="clear"/>
            <w:tcMar>
              <w:left w:w="100" w:type="dxa"/>
            </w:tcMar>
          </w:tcPr>
          <w:p>
            <w:pPr>
              <w:pStyle w:val="Normal"/>
              <w:numPr>
                <w:ilvl w:val="1"/>
                <w:numId w:val="1"/>
              </w:numPr>
              <w:shd w:fill="FFFFFF" w:val="clear"/>
              <w:spacing w:lineRule="auto" w:line="240" w:before="60" w:after="60"/>
              <w:ind w:left="1440" w:hanging="360"/>
              <w:jc w:val="center"/>
              <w:rPr>
                <w:rFonts w:ascii="Arial" w:hAnsi="Arial" w:eastAsia="Arial" w:cs="Arial"/>
                <w:sz w:val="20"/>
                <w:szCs w:val="20"/>
              </w:rPr>
            </w:pPr>
            <w:r>
              <w:rPr>
                <w:rFonts w:eastAsia="Arial" w:cs="Arial" w:ascii="Arial" w:hAnsi="Arial"/>
                <w:sz w:val="20"/>
                <w:szCs w:val="20"/>
              </w:rPr>
            </w:r>
          </w:p>
        </w:tc>
        <w:tc>
          <w:tcPr>
            <w:tcW w:w="5114" w:type="dxa"/>
            <w:tcBorders>
              <w:top w:val="single" w:sz="8" w:space="0" w:color="000001"/>
            </w:tcBorders>
            <w:shd w:fill="auto" w:val="clear"/>
          </w:tcPr>
          <w:p>
            <w:pPr>
              <w:pStyle w:val="Normal"/>
              <w:shd w:fill="FFFFFF" w:val="clear"/>
              <w:spacing w:lineRule="auto" w:line="240" w:before="60" w:after="60"/>
              <w:ind w:left="0" w:hanging="0"/>
              <w:jc w:val="center"/>
              <w:rPr>
                <w:rFonts w:ascii="Arial" w:hAnsi="Arial" w:eastAsia="Arial" w:cs="Arial"/>
                <w:sz w:val="20"/>
                <w:szCs w:val="20"/>
              </w:rPr>
            </w:pPr>
            <w:r>
              <w:rPr>
                <w:rFonts w:eastAsia="Arial" w:cs="Arial" w:ascii="Arial" w:hAnsi="Arial"/>
                <w:sz w:val="20"/>
                <w:szCs w:val="20"/>
              </w:rPr>
              <w:t>Passivo Circulante + Passivo Não Circulante</w:t>
            </w:r>
          </w:p>
        </w:tc>
      </w:tr>
    </w:tbl>
    <w:p>
      <w:pPr>
        <w:pStyle w:val="Normal"/>
        <w:shd w:fill="FFFFFF" w:val="clear"/>
        <w:spacing w:lineRule="auto" w:line="240" w:before="60" w:after="60"/>
        <w:ind w:left="0" w:hanging="0"/>
        <w:jc w:val="center"/>
        <w:rPr>
          <w:rFonts w:ascii="Arial" w:hAnsi="Arial" w:eastAsia="Arial" w:cs="Arial"/>
          <w:sz w:val="20"/>
          <w:szCs w:val="20"/>
        </w:rPr>
      </w:pPr>
      <w:r>
        <w:rPr>
          <w:rFonts w:eastAsia="Arial" w:cs="Arial" w:ascii="Arial" w:hAnsi="Arial"/>
          <w:sz w:val="20"/>
          <w:szCs w:val="20"/>
        </w:rPr>
      </w:r>
    </w:p>
    <w:tbl>
      <w:tblPr>
        <w:tblStyle w:val="Table3"/>
        <w:tblW w:w="4830" w:type="dxa"/>
        <w:jc w:val="center"/>
        <w:tblInd w:w="0" w:type="dxa"/>
        <w:tblBorders/>
        <w:tblCellMar>
          <w:top w:w="100" w:type="dxa"/>
          <w:left w:w="120" w:type="dxa"/>
          <w:bottom w:w="100" w:type="dxa"/>
          <w:right w:w="100" w:type="dxa"/>
        </w:tblCellMar>
        <w:tblLook w:val="0600"/>
      </w:tblPr>
      <w:tblGrid>
        <w:gridCol w:w="2174"/>
        <w:gridCol w:w="2655"/>
      </w:tblGrid>
      <w:tr>
        <w:trPr>
          <w:trHeight w:val="440" w:hRule="atLeast"/>
        </w:trPr>
        <w:tc>
          <w:tcPr>
            <w:tcW w:w="2174" w:type="dxa"/>
            <w:vMerge w:val="restart"/>
            <w:tcBorders/>
            <w:shd w:fill="auto" w:val="clear"/>
          </w:tcPr>
          <w:p>
            <w:pPr>
              <w:pStyle w:val="Normal"/>
              <w:shd w:fill="FFFFFF" w:val="clear"/>
              <w:spacing w:lineRule="auto" w:line="240" w:before="60" w:after="60"/>
              <w:ind w:left="144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1440" w:hanging="0"/>
              <w:jc w:val="center"/>
              <w:rPr>
                <w:rFonts w:ascii="Arial" w:hAnsi="Arial" w:eastAsia="Arial" w:cs="Arial"/>
                <w:sz w:val="20"/>
                <w:szCs w:val="20"/>
              </w:rPr>
            </w:pPr>
            <w:r>
              <w:rPr>
                <w:rFonts w:eastAsia="Arial" w:cs="Arial" w:ascii="Arial" w:hAnsi="Arial"/>
                <w:sz w:val="20"/>
                <w:szCs w:val="20"/>
              </w:rPr>
              <w:t>LC =</w:t>
            </w:r>
          </w:p>
        </w:tc>
        <w:tc>
          <w:tcPr>
            <w:tcW w:w="2655" w:type="dxa"/>
            <w:tcBorders>
              <w:bottom w:val="single" w:sz="8" w:space="0" w:color="000001"/>
              <w:insideH w:val="single" w:sz="8" w:space="0" w:color="000001"/>
            </w:tcBorders>
            <w:shd w:fill="auto" w:val="clear"/>
            <w:vAlign w:val="bottom"/>
          </w:tcPr>
          <w:p>
            <w:pPr>
              <w:pStyle w:val="Normal"/>
              <w:shd w:fill="FFFFFF" w:val="clear"/>
              <w:spacing w:lineRule="auto" w:line="240" w:before="60" w:after="60"/>
              <w:ind w:left="0" w:hanging="0"/>
              <w:jc w:val="center"/>
              <w:rPr>
                <w:rFonts w:ascii="Arial" w:hAnsi="Arial" w:eastAsia="Arial" w:cs="Arial"/>
                <w:sz w:val="20"/>
                <w:szCs w:val="20"/>
              </w:rPr>
            </w:pPr>
            <w:r>
              <w:rPr>
                <w:rFonts w:eastAsia="Arial" w:cs="Arial" w:ascii="Arial" w:hAnsi="Arial"/>
                <w:sz w:val="20"/>
                <w:szCs w:val="20"/>
              </w:rPr>
              <w:t>Ativo Circulante</w:t>
            </w:r>
          </w:p>
        </w:tc>
      </w:tr>
      <w:tr>
        <w:trPr>
          <w:trHeight w:val="440" w:hRule="atLeast"/>
        </w:trPr>
        <w:tc>
          <w:tcPr>
            <w:tcW w:w="2174" w:type="dxa"/>
            <w:vMerge w:val="continue"/>
            <w:tcBorders/>
            <w:shd w:fill="auto" w:val="clear"/>
            <w:tcMar>
              <w:left w:w="100" w:type="dxa"/>
            </w:tcMar>
          </w:tcPr>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r>
          </w:p>
        </w:tc>
        <w:tc>
          <w:tcPr>
            <w:tcW w:w="2655" w:type="dxa"/>
            <w:tcBorders>
              <w:top w:val="single" w:sz="8" w:space="0" w:color="000001"/>
            </w:tcBorders>
            <w:shd w:fill="auto" w:val="clear"/>
          </w:tcPr>
          <w:p>
            <w:pPr>
              <w:pStyle w:val="Normal"/>
              <w:shd w:fill="FFFFFF" w:val="clear"/>
              <w:spacing w:lineRule="auto" w:line="240" w:before="60" w:after="60"/>
              <w:ind w:left="0" w:hanging="0"/>
              <w:jc w:val="center"/>
              <w:rPr>
                <w:rFonts w:ascii="Arial" w:hAnsi="Arial" w:eastAsia="Arial" w:cs="Arial"/>
                <w:sz w:val="20"/>
                <w:szCs w:val="20"/>
              </w:rPr>
            </w:pPr>
            <w:r>
              <w:rPr>
                <w:rFonts w:eastAsia="Arial" w:cs="Arial" w:ascii="Arial" w:hAnsi="Arial"/>
                <w:sz w:val="20"/>
                <w:szCs w:val="20"/>
              </w:rPr>
              <w:t>Passivo Circulante</w:t>
            </w:r>
          </w:p>
        </w:tc>
      </w:tr>
    </w:tbl>
    <w:p>
      <w:pPr>
        <w:pStyle w:val="Normal"/>
        <w:shd w:fill="FFFFFF" w:val="clear"/>
        <w:spacing w:lineRule="auto" w:line="240" w:before="60" w:after="60"/>
        <w:ind w:left="0" w:hanging="0"/>
        <w:jc w:val="both"/>
        <w:rPr>
          <w:rFonts w:ascii="Arial" w:hAnsi="Arial" w:eastAsia="Arial" w:cs="Arial"/>
          <w:sz w:val="20"/>
          <w:szCs w:val="20"/>
        </w:rPr>
      </w:pPr>
      <w:r>
        <w:rPr>
          <w:rFonts w:eastAsia="Arial" w:cs="Arial" w:ascii="Arial" w:hAnsi="Arial"/>
          <w:sz w:val="20"/>
          <w:szCs w:val="20"/>
        </w:rPr>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As empresas que apresentarem resultado inferior ou igual a 1(um) em qualquer dos índices de Liquidez Geral (LG), Solvência Geral (SG) e Liquidez Corrente (LC), deverão comprovar, considerados os riscos para a Administração, e, a critério da autoridade competente, o capital mínimo ou o patrimônio líquido mínimo  de 10% (dez por cento) do valor estimado da contratação ou do item pertinente.</w:t>
      </w:r>
    </w:p>
    <w:p>
      <w:pPr>
        <w:pStyle w:val="Normal"/>
        <w:numPr>
          <w:ilvl w:val="1"/>
          <w:numId w:val="1"/>
        </w:numPr>
        <w:shd w:fill="FFFFFF" w:val="clear"/>
        <w:spacing w:lineRule="auto" w:line="240" w:before="120" w:after="60"/>
        <w:ind w:left="1440" w:hanging="360"/>
        <w:jc w:val="both"/>
        <w:rPr>
          <w:rFonts w:ascii="Arial" w:hAnsi="Arial" w:eastAsia="Arial" w:cs="Arial"/>
          <w:sz w:val="20"/>
          <w:szCs w:val="20"/>
        </w:rPr>
      </w:pPr>
      <w:r>
        <w:rPr>
          <w:rFonts w:eastAsia="Arial" w:cs="Arial" w:ascii="Arial" w:hAnsi="Arial"/>
          <w:b/>
          <w:sz w:val="20"/>
          <w:szCs w:val="20"/>
        </w:rPr>
        <w:t xml:space="preserve">Qualificação Técnica </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As empresas, cadastradas ou não no SICAF, relativamente a todos os itens, deverão comprovar, ainda, a qualificação técnica, por meio de: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Declaração de atendimento a critérios de sustentabilidade ambiental, conforme modelo anexo.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documentos exigidos para habilitação relacionados nos subitens acima, deverão ser apresentados em meio digital pelos licitantes, por meio de funcionalidade presente no sistema (upload), no prazo de 02 (duas) horas, após solicitação do Pregoeiro no sistema eletrônico.  Somente mediante autorização do Pregoeiro e em caso de indisponibilidade do sistema, será aceito o envio da documentação por meio do e-mail compras@gmail.com.</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Somente haverá a necessidade de comprovação do preenchimento de requisitos mediante apresentação dos documentos originais não-digitais quando houver dúvida em relação à integridade do documento digital.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Não serão aceitos documentos com indicação de CNPJ/CPF diferentes, salvo aqueles legalmente permitidos.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Serão aceitos registros de CNPJ de licitante matriz e filial com diferenças de números de documentos pertinentes ao CND e ao CRF/FGTS, quando for comprovada a centralização do recolhimento dessas contribuições.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declaração do vencedor acontecerá no momento imediatamente posterior à fase de habilitação.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Havendo necessidade de analisar minuciosamente os documentos exigidos, o Pregoeiro suspenderá a sessão, informando no “chat” a nova data e horário para a continuidade da mesma.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Será inabilitado o licitante que não comprovar sua habilitação, seja por não apresentar quaisquer dos documentos exigidos, ou apresentá-los em desacordo com o estabelecido neste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Constatado o atendimento às exigências de habilitação fixadas no Edital, o licitante será declarado vencedor.</w:t>
      </w:r>
    </w:p>
    <w:p>
      <w:pPr>
        <w:pStyle w:val="Ttulo2"/>
        <w:numPr>
          <w:ilvl w:val="0"/>
          <w:numId w:val="1"/>
        </w:numPr>
        <w:ind w:left="720" w:hanging="360"/>
        <w:rPr/>
      </w:pPr>
      <w:bookmarkStart w:id="9" w:name="_clf7b7ebat67"/>
      <w:bookmarkEnd w:id="9"/>
      <w:r>
        <w:rPr/>
        <w:t>DO ENCAMINHAMENTO DA PROPOSTA VENCEDORA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proposta final do licitante declarado vencedor deverá ser encaminhada no prazo de 02 (duas) horas, a contar da solicitação do Pregoeiro no sistema eletrônico e deverá:</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ser redigida em língua portuguesa, datilografada ou digitada, em uma via, sem emendas, rasuras, entrelinhas ou ressalvas, devendo a última folha ser assinada pelo licitante ou seu representante legal.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proposta poderá conter a indicação do banco, número da conta e agência do licitante vencedor, para fins de pagamento, bem como ser rubricada em todas as suas folhas.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Para o item 01, confirmar que serão enviados junto do material certificado de irradiação e laudo bromatológico.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proposta final deverá ser documentada nos autos e será levada em consideração no decorrer da execução do contrato e aplicação de eventual sanção à Contratada, se for o caso.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Todas as especificações do objeto contidas na proposta, tais como marca, tipo, fabricante e procedência, vinculam a Contratada.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preços deverão ser expressos em moeda corrente nacional, o valor unitário em algarismos e o valor global em algarismos e por extenso (art. 5º da Lei nº 8.666/93) ), sendo os números decimais (centavos) expressos somente com duas casas, havendo negociação do pregoeiro em ocorrência diversa.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Ocorrendo divergência entre os preços unitários e o preço global, prevalecerão os primeiros; no caso de divergência entre os valores numéricos e os valores expressos por extenso, prevalecerão estes últimos.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oferta deverá ser firme e precisa, limitada, rigorosamente, ao objeto deste Edital, sem conter alternativas de preço ou de qualquer outra condição que induza o julgamento a mais de um resultado, sob pena de desclassificação.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proposta deverá obedecer aos termos deste Edital e seus Anexos, não sendo considerada aquela que não corresponda às especificações ali contidas ou que estabeleça vínculo à proposta de outro licitante.</w:t>
      </w:r>
    </w:p>
    <w:p>
      <w:pPr>
        <w:pStyle w:val="Ttulo2"/>
        <w:numPr>
          <w:ilvl w:val="0"/>
          <w:numId w:val="1"/>
        </w:numPr>
        <w:ind w:left="720" w:hanging="360"/>
        <w:rPr/>
      </w:pPr>
      <w:bookmarkStart w:id="10" w:name="_nip2gakw8wit"/>
      <w:bookmarkEnd w:id="10"/>
      <w:r>
        <w:rPr/>
        <w:t>DOS RECURSOS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Declarado o vencedor e decorrida a fase de regularização fiscal e trabalhista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Havendo quem se manifeste, caberá ao Pregoeiro verificar a tempestividade e a existência de motivação da intenção de recorrer, para decidir se admite ou não o recurso, fundamentadamente.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Nesse momento o Pregoeiro não adentrará no mérito recursal, mas apenas verificará as condições de admissibilidade do recurso.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falta de manifestação motivada do licitante quanto à intenção de recorrer importará a decadência desse direito.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acolhimento do recurso invalida tão somente os atos insuscetíveis de aproveitamento.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autos do processo permanecerão com vista franqueada aos interessados, no endereço constante neste Edital.</w:t>
      </w:r>
    </w:p>
    <w:p>
      <w:pPr>
        <w:pStyle w:val="Ttulo2"/>
        <w:numPr>
          <w:ilvl w:val="0"/>
          <w:numId w:val="1"/>
        </w:numPr>
        <w:ind w:left="720" w:hanging="360"/>
        <w:rPr/>
      </w:pPr>
      <w:bookmarkStart w:id="11" w:name="_wvausvd4hzuu"/>
      <w:bookmarkEnd w:id="11"/>
      <w:r>
        <w:rPr/>
        <w:t>DA REABERTURA DA SESSÃO PÚBLICA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sessão pública poderá ser reaberta: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Todos os licitantes remanescentes deverão ser convocados para acompanhar a sessão reaberta.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convocação se dará por meio do sistema eletrônico (“chat”), e-mail, ou, ainda, fac-símile, de acordo com a fase do procedimento licitatório.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convocação feita por e-mail ou fac-símile dar-se-á de acordo com os dados contidos no SICAF, sendo responsabilidade do licitante manter seus dados cadastrais atualizados.</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r>
    </w:p>
    <w:p>
      <w:pPr>
        <w:pStyle w:val="Ttulo2"/>
        <w:numPr>
          <w:ilvl w:val="0"/>
          <w:numId w:val="1"/>
        </w:numPr>
        <w:ind w:left="720" w:hanging="360"/>
        <w:rPr/>
      </w:pPr>
      <w:bookmarkStart w:id="12" w:name="_hflkc9dpd7vh"/>
      <w:bookmarkEnd w:id="12"/>
      <w:r>
        <w:rPr/>
        <w:t>DA ADJUDICAÇÃO E HOMOLOGAÇÃO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objeto da licitação será adjudicado ao licitante declarado vencedor, por ato do Pregoeiro, caso não haja interposição de recurso, ou pela autoridade competente, após a regular decisão dos recursos apresentados.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Após a fase recursal, constatada a regularidade dos atos praticados, a autoridade competente homologará o procedimento licitatório.</w:t>
      </w:r>
    </w:p>
    <w:p>
      <w:pPr>
        <w:pStyle w:val="Ttulo2"/>
        <w:numPr>
          <w:ilvl w:val="0"/>
          <w:numId w:val="1"/>
        </w:numPr>
        <w:ind w:left="720" w:hanging="360"/>
        <w:rPr/>
      </w:pPr>
      <w:bookmarkStart w:id="13" w:name="_1yh035t13eqw"/>
      <w:bookmarkEnd w:id="13"/>
      <w:r>
        <w:rPr/>
        <w:t>DA GARANTIA DE EXECUÇÃO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Não haverá exigência de garantia de execução para a presente contratação.</w:t>
      </w:r>
    </w:p>
    <w:p>
      <w:pPr>
        <w:pStyle w:val="Ttulo2"/>
        <w:numPr>
          <w:ilvl w:val="0"/>
          <w:numId w:val="1"/>
        </w:numPr>
        <w:ind w:left="720" w:hanging="360"/>
        <w:rPr/>
      </w:pPr>
      <w:bookmarkStart w:id="14" w:name="_th8kvr8958rn"/>
      <w:bookmarkEnd w:id="14"/>
      <w:r>
        <w:rPr/>
        <w:t xml:space="preserve">DA ATA DE REGISTRO DE PREÇOS     </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neste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05 (cinco) dias, a contar da data de seu recebimento.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pPr>
        <w:pStyle w:val="Ttulo2"/>
        <w:numPr>
          <w:ilvl w:val="0"/>
          <w:numId w:val="1"/>
        </w:numPr>
        <w:ind w:left="720" w:hanging="360"/>
        <w:rPr/>
      </w:pPr>
      <w:bookmarkStart w:id="15" w:name="_e6zgfeig5jvn"/>
      <w:bookmarkEnd w:id="15"/>
      <w:r>
        <w:rPr/>
        <w:t>DA NOTA DE EMPENHO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Após a homologação da licitação, em sendo realizada a contratação, será emitida nota de empenho.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adjudicatário terá o prazo de 07 dias, contados a partir do envio de e-mail, para aceitar a nota de empenho, sob pena de decair do direito à contratação, sem prejuízo das sanções previstas neste Edital.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Alternativamente à convocação para aceite da nota de empenho, a Administração poderá encaminhá-lo para aceite da Adjudicatária, mediante correspondência postal com aviso de recebimento (AR) ou meio eletrônico, para que seja assinado ou aceito no prazo de 07 (sete) dias, a contar da data de seu recebimento.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 prazo previsto no subitem anterior poderá ser prorrogado, por igual período, por solicitação justificada do adjudicatário e aceita pela Administração.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O licitante deve manter atualizado seus dados de contato no SICAF, pois estes serão utilizados para encaminhamento das notas de empenho.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color w:val="00000A"/>
          <w:sz w:val="20"/>
          <w:szCs w:val="20"/>
        </w:rPr>
        <w:t>15.3.</w:t>
      </w:r>
      <w:r>
        <w:rPr>
          <w:rFonts w:eastAsia="Arial" w:cs="Arial" w:ascii="Arial" w:hAnsi="Arial"/>
          <w:sz w:val="20"/>
          <w:szCs w:val="20"/>
        </w:rPr>
        <w:t>O Aceite da Nota de Empenho, emitida à empresa adjudicada, implica no reconhecimento de que: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referida Nota está substituindo o contrato, aplicando-se à relação de negócios ali estabelecida as disposições da Lei nº 8.666, de 1993;</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contratada se vincula à sua proposta e às previsões contidas no edital e seus anexos;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 contratada reconhece que as hipóteses de rescisão são aquelas previstas nos artigos 77 e 78 da Lei nº 8.666/93 e reconhece os direitos da Administração previstos nos artigos 79 e 80 da mesma Lei.</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prazo de vigência da contratação é de 12 meses, prorrogável conforme previsão no instrumento contratual ou no termo de referência.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Nos casos em que houver necessidade de assinatura do instrumento de contrato, e o fornecedor não estiver inscrito no SICAF, este deverá proceder ao seu cadastramento, sem ônus, antes da contratação.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Ttulo2"/>
        <w:numPr>
          <w:ilvl w:val="0"/>
          <w:numId w:val="1"/>
        </w:numPr>
        <w:ind w:left="720" w:hanging="360"/>
        <w:rPr/>
      </w:pPr>
      <w:bookmarkStart w:id="16" w:name="_97urumsw67gr"/>
      <w:bookmarkEnd w:id="16"/>
      <w:r>
        <w:rPr/>
        <w:t>DO REAJUSTE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As regras acerca do reajuste do valor contratual são as estabelecidas no Termo de Referência, anexo a este Edital.</w:t>
      </w:r>
    </w:p>
    <w:p>
      <w:pPr>
        <w:pStyle w:val="Ttulo2"/>
        <w:numPr>
          <w:ilvl w:val="0"/>
          <w:numId w:val="1"/>
        </w:numPr>
        <w:ind w:left="720" w:hanging="360"/>
        <w:rPr/>
      </w:pPr>
      <w:bookmarkStart w:id="17" w:name="_zh9w7pq0i364"/>
      <w:bookmarkEnd w:id="17"/>
      <w:r>
        <w:rPr/>
        <w:t>DO RECEBIMENTO DO OBJETO E DA FISCALIZAÇÃO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critérios de recebimento e aceitação do objeto e de fiscalização estão previstos no Termo de Referência.</w:t>
      </w:r>
    </w:p>
    <w:p>
      <w:pPr>
        <w:pStyle w:val="Ttulo2"/>
        <w:numPr>
          <w:ilvl w:val="0"/>
          <w:numId w:val="1"/>
        </w:numPr>
        <w:ind w:left="720" w:hanging="360"/>
        <w:rPr/>
      </w:pPr>
      <w:bookmarkStart w:id="18" w:name="_lrfmm2yfjqm6"/>
      <w:bookmarkEnd w:id="18"/>
      <w:r>
        <w:rPr/>
        <w:t>DAS OBRIGAÇÕES DA CONTRATANTE E DA CONTRATADA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As obrigações da Contratante e da Contratada são as estabelecidas no Termo de Referência.</w:t>
      </w:r>
    </w:p>
    <w:p>
      <w:pPr>
        <w:pStyle w:val="Ttulo2"/>
        <w:numPr>
          <w:ilvl w:val="0"/>
          <w:numId w:val="1"/>
        </w:numPr>
        <w:ind w:left="720" w:hanging="360"/>
        <w:rPr/>
      </w:pPr>
      <w:bookmarkStart w:id="19" w:name="_ag8binzfl0g5"/>
      <w:bookmarkEnd w:id="19"/>
      <w:r>
        <w:rPr/>
        <w:t>DO PAGAMENTO</w:t>
      </w:r>
    </w:p>
    <w:p>
      <w:pPr>
        <w:pStyle w:val="Ttulo2"/>
        <w:numPr>
          <w:ilvl w:val="1"/>
          <w:numId w:val="1"/>
        </w:numPr>
        <w:spacing w:lineRule="auto" w:line="240" w:before="60" w:after="60"/>
        <w:ind w:left="1440" w:hanging="360"/>
        <w:jc w:val="both"/>
        <w:rPr>
          <w:b w:val="false"/>
          <w:b w:val="false"/>
        </w:rPr>
      </w:pPr>
      <w:bookmarkStart w:id="20" w:name="_1oft9xdnk3b7"/>
      <w:bookmarkEnd w:id="20"/>
      <w:r>
        <w:rPr>
          <w:b w:val="false"/>
        </w:rPr>
        <w:t>As regras acerca do pagamento são as estabelecidas no Termo de Referência, anexo a este Edital.</w:t>
      </w:r>
    </w:p>
    <w:p>
      <w:pPr>
        <w:pStyle w:val="Ttulo2"/>
        <w:numPr>
          <w:ilvl w:val="0"/>
          <w:numId w:val="1"/>
        </w:numPr>
        <w:ind w:left="720" w:hanging="360"/>
        <w:rPr/>
      </w:pPr>
      <w:bookmarkStart w:id="21" w:name="_xoys00s67cq7"/>
      <w:bookmarkEnd w:id="21"/>
      <w:r>
        <w:rPr/>
        <w:t>DAS SANÇÕES ADMINISTRATIVAS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Comete infração administrativa, nos termos da Lei nº 10.520, de 2002, o licitante/adjudicatário que: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não assinar o termo de contrato ou aceitar/retirar o instrumento equivalente, quando convocado dentro do prazo de validade da proposta;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apresentar documentação falsa;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deixar de entregar os documentos exigidos no certame;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ensejar o retardamento da execução do objeto;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não mantiver a proposta;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cometer fraude fiscal;</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comportar-se de modo inidôneo;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O licitante/adjudicatário que cometer qualquer das infrações discriminadas nos subitens anteriores ficará sujeito, sem prejuízo da responsabilidade civil e criminal, às seguintes sanções: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Advertência por faltas leves, assim entendidas como aquelas que não acarretarem prejuízos significativos ao objeto da contratação;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Multa de 10 % (dez por cento) sobre o valor estimado do(s) item(s) prejudicado(s) pela conduta do licitante;</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Suspensão de licitar e impedimento de contratar com o órgão, entidade ou unidade administrativa pela qual a Administração Pública opera e atua concretamente, pelo prazo de até dois anos;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highlight w:val="white"/>
          <w:u w:val="none"/>
        </w:rPr>
      </w:pPr>
      <w:r>
        <w:rPr>
          <w:rFonts w:eastAsia="Arial" w:cs="Arial" w:ascii="Arial" w:hAnsi="Arial"/>
          <w:sz w:val="20"/>
          <w:szCs w:val="20"/>
          <w:highlight w:val="white"/>
        </w:rPr>
        <w:t>Impedimento de licitar e de contratar com a União e descredenciamento no SICAF, pelo prazo de até cinco anos;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A penalidade de multa pode ser aplicada cumulativamente com as demais sanções.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As penalidades serão obrigatoriamente registradas no SICAF.</w:t>
      </w:r>
    </w:p>
    <w:p>
      <w:pPr>
        <w:pStyle w:val="Normal"/>
        <w:numPr>
          <w:ilvl w:val="1"/>
          <w:numId w:val="1"/>
        </w:numPr>
        <w:shd w:fill="FFFFFF" w:val="clear"/>
        <w:spacing w:lineRule="auto" w:line="240" w:before="60" w:after="60"/>
        <w:ind w:left="1440" w:hanging="360"/>
        <w:jc w:val="both"/>
        <w:rPr>
          <w:rFonts w:ascii="Arial" w:hAnsi="Arial" w:eastAsia="Arial" w:cs="Arial"/>
          <w:sz w:val="20"/>
          <w:szCs w:val="20"/>
          <w:highlight w:val="white"/>
        </w:rPr>
      </w:pPr>
      <w:r>
        <w:rPr>
          <w:rFonts w:eastAsia="Arial" w:cs="Arial" w:ascii="Arial" w:hAnsi="Arial"/>
          <w:sz w:val="20"/>
          <w:szCs w:val="20"/>
          <w:highlight w:val="white"/>
        </w:rPr>
        <w:t>As sanções por atos praticados no decorrer da contratação estão previstas no Termo de Referência.</w:t>
      </w:r>
    </w:p>
    <w:p>
      <w:pPr>
        <w:pStyle w:val="Ttulo2"/>
        <w:numPr>
          <w:ilvl w:val="0"/>
          <w:numId w:val="1"/>
        </w:numPr>
        <w:ind w:left="720" w:hanging="360"/>
        <w:rPr/>
      </w:pPr>
      <w:bookmarkStart w:id="22" w:name="_n8f5rlniny1e"/>
      <w:bookmarkEnd w:id="22"/>
      <w:r>
        <w:rPr/>
        <w:t>DA FORMAÇÃO DO CADASTRO DE RESERVA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Após o encerramento da etapa competitiva, os licitantes poderão reduzir seus preços ao valor da proposta do licitante mais bem classificado.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A apresentação de novas propostas na forma deste item não prejudicará o resultado do certame em relação ao licitante melhor classificado.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Havendo um ou mais licitantes que aceitem cotar suas propostas em valor igual ao do licitante vencedor, estes serão classificados segundo a ordem da última proposta individual apresentada durante a fase competitiva.</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Ttulo2"/>
        <w:numPr>
          <w:ilvl w:val="0"/>
          <w:numId w:val="1"/>
        </w:numPr>
        <w:ind w:left="720" w:hanging="360"/>
        <w:rPr/>
      </w:pPr>
      <w:bookmarkStart w:id="23" w:name="_48v5ewfkoy5"/>
      <w:bookmarkEnd w:id="23"/>
      <w:r>
        <w:rPr/>
        <w:t>DA IMPUGNAÇÃO AO EDITAL E DO PEDIDO DE ESCLARECIMENTO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Até 02 (dois) dias úteis antes da data designada para a abertura da sessão pública, qualquer pessoa poderá impugnar este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A impugnação poderá ser realizada por forma eletrônica, pelo e-mail compras@proginst.ufal.br ou por petição dirigida ou protocolada no endereço Universidade Federal de Alagoas, Campus A. C. Simões, A/C Gerência de Compras e Licitação/PROGINST, Av. Lourival Melo Mota, s/n, Cidade Universitária - Maceió - AL, CEP: 57072-970</w:t>
      </w:r>
      <w:r>
        <w:rPr>
          <w:rFonts w:eastAsia="Arial" w:cs="Arial" w:ascii="Arial" w:hAnsi="Arial"/>
          <w:color w:val="FF0000"/>
          <w:sz w:val="20"/>
          <w:szCs w:val="20"/>
        </w:rPr>
        <w:t>.</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Caberá ao Pregoeiro decidir sobre a impugnação no prazo de até vinte e quatro horas.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Acolhida a impugnação, será definida e publicada nova data para a realização do certame.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As impugnações e pedidos de esclarecimentos não suspendem os prazos previstos no certame.</w:t>
      </w:r>
    </w:p>
    <w:p>
      <w:pPr>
        <w:pStyle w:val="Normal"/>
        <w:numPr>
          <w:ilvl w:val="1"/>
          <w:numId w:val="1"/>
        </w:numPr>
        <w:shd w:fill="FFFFFF" w:val="clear"/>
        <w:spacing w:lineRule="auto" w:line="240" w:before="60" w:after="60"/>
        <w:ind w:left="1440" w:hanging="360"/>
        <w:jc w:val="both"/>
        <w:rPr>
          <w:rFonts w:ascii="Arial" w:hAnsi="Arial" w:eastAsia="Arial" w:cs="Arial"/>
          <w:sz w:val="20"/>
          <w:szCs w:val="20"/>
          <w:u w:val="none"/>
        </w:rPr>
      </w:pPr>
      <w:r>
        <w:rPr>
          <w:rFonts w:eastAsia="Arial" w:cs="Arial" w:ascii="Arial" w:hAnsi="Arial"/>
          <w:sz w:val="20"/>
          <w:szCs w:val="20"/>
        </w:rPr>
        <w:t>As respostas às impugnações e os esclarecimentos prestados pelo Pregoeiro serão entranhados nos autos do processo licitatório e estarão disponíveis para consulta por qualquer interessado.</w:t>
      </w:r>
    </w:p>
    <w:p>
      <w:pPr>
        <w:pStyle w:val="Ttulo2"/>
        <w:numPr>
          <w:ilvl w:val="0"/>
          <w:numId w:val="1"/>
        </w:numPr>
        <w:ind w:left="720" w:hanging="360"/>
        <w:rPr/>
      </w:pPr>
      <w:bookmarkStart w:id="24" w:name="_t8gz9brw57go"/>
      <w:bookmarkEnd w:id="24"/>
      <w:r>
        <w:rPr/>
        <w:t>DAS DISPOSIÇÕES GERAIS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Da sessão pública do Pregão divulgar-se-á Ata no sistema eletrônico.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Todas as referências de tempo no Edital, no aviso e durante a sessão pública observarão o horário de Brasília – DF.</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licitante será responsável por todas as transações que forem efetuadas em seu nome no sistema eletrônico, assumindo como firmes e verdadeiras suas propostas e lances.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 homologação do resultado desta licitação não implicará direito à contratação.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Na contagem dos prazos estabelecidos neste Edital e seus Anexos, excluir-se-á o dia do início e incluir-se-á o do vencimento. Só se iniciam e vencem os prazos em dias de expediente na Administração.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desatendimento de exigências formais não essenciais não importará o afastamento do licitante, desde que seja possível o aproveitamento do ato, observados os princípios da isonomia e do interesse público.</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Em caso de divergência entre disposições deste Edital e de seus anexos ou demais peças que compõem o processo, prevalecerá as deste Edital.</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O Edital está disponibilizado, na íntegra, no endereço eletrônico www.comprasgovernamentais.gov.br, e também poderão ser lidos e/ou obtidos no endereço Universidade Federal de Alagoas, Campus A. C. Simões, A/C Gerência de Compras e Licitação/PROGINST, Av. Lourival Melo Mota, s/n, Cidade Universitária - Maceió - AL, CEP: 57072-970, nos dias úteis, no horário das 07:00 horas às 19:00 horas, mesmo endereço e período no qual os autos do processo administrativo permanecerão com vista franqueada aos interessados.</w:t>
      </w:r>
    </w:p>
    <w:p>
      <w:pPr>
        <w:pStyle w:val="Normal"/>
        <w:numPr>
          <w:ilvl w:val="1"/>
          <w:numId w:val="1"/>
        </w:numPr>
        <w:shd w:fill="FFFFFF" w:val="clear"/>
        <w:spacing w:lineRule="auto" w:line="240" w:before="60" w:after="60"/>
        <w:ind w:left="1440" w:hanging="360"/>
        <w:jc w:val="both"/>
        <w:rPr>
          <w:rFonts w:ascii="Arial" w:hAnsi="Arial" w:eastAsia="Arial" w:cs="Arial"/>
          <w:sz w:val="20"/>
          <w:szCs w:val="20"/>
        </w:rPr>
      </w:pPr>
      <w:r>
        <w:rPr>
          <w:rFonts w:eastAsia="Arial" w:cs="Arial" w:ascii="Arial" w:hAnsi="Arial"/>
          <w:sz w:val="20"/>
          <w:szCs w:val="20"/>
        </w:rPr>
        <w:t>Integram este Edital, para todos os fins e efeitos, os seguintes anexos:</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ANEXO I - Termo de Referência;</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ANEXO II – Minuta de Ata de Registro de Preços, se for o caso;</w:t>
      </w:r>
    </w:p>
    <w:p>
      <w:pPr>
        <w:pStyle w:val="Normal"/>
        <w:numPr>
          <w:ilvl w:val="2"/>
          <w:numId w:val="1"/>
        </w:numPr>
        <w:shd w:fill="FFFFFF" w:val="clear"/>
        <w:spacing w:lineRule="auto" w:line="240" w:before="60" w:after="60"/>
        <w:ind w:left="2160" w:hanging="360"/>
        <w:jc w:val="both"/>
        <w:rPr>
          <w:rFonts w:ascii="Arial" w:hAnsi="Arial" w:eastAsia="Arial" w:cs="Arial"/>
          <w:sz w:val="20"/>
          <w:szCs w:val="20"/>
          <w:u w:val="none"/>
        </w:rPr>
      </w:pPr>
      <w:r>
        <w:rPr>
          <w:rFonts w:eastAsia="Arial" w:cs="Arial" w:ascii="Arial" w:hAnsi="Arial"/>
          <w:sz w:val="20"/>
          <w:szCs w:val="20"/>
        </w:rPr>
        <w:t>ANEXO II – Modelo de Declaração de atendimento a critérios de sustentabilidade ambiental;</w:t>
      </w:r>
    </w:p>
    <w:p>
      <w:pPr>
        <w:pStyle w:val="Normal"/>
        <w:shd w:fill="FFFFFF" w:val="clear"/>
        <w:spacing w:lineRule="auto" w:line="240" w:before="60" w:after="60"/>
        <w:jc w:val="both"/>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right="-20" w:firstLine="700"/>
        <w:jc w:val="both"/>
        <w:rPr>
          <w:rFonts w:ascii="Arial" w:hAnsi="Arial" w:eastAsia="Arial" w:cs="Arial"/>
          <w:sz w:val="20"/>
          <w:szCs w:val="20"/>
        </w:rPr>
      </w:pPr>
      <w:r>
        <w:rPr>
          <w:rFonts w:eastAsia="Arial" w:cs="Arial" w:ascii="Arial" w:hAnsi="Arial"/>
          <w:sz w:val="20"/>
          <w:szCs w:val="20"/>
        </w:rPr>
        <w:t xml:space="preserve"> </w:t>
      </w:r>
    </w:p>
    <w:p>
      <w:pPr>
        <w:pStyle w:val="Normal"/>
        <w:shd w:fill="FFFFFF" w:val="clear"/>
        <w:spacing w:lineRule="auto" w:line="240" w:before="60" w:after="60"/>
        <w:ind w:left="0" w:right="-20" w:hanging="0"/>
        <w:jc w:val="center"/>
        <w:rPr>
          <w:rFonts w:ascii="Arial" w:hAnsi="Arial" w:eastAsia="Arial" w:cs="Arial"/>
          <w:sz w:val="20"/>
          <w:szCs w:val="20"/>
        </w:rPr>
      </w:pPr>
      <w:r>
        <w:rPr>
          <w:rFonts w:eastAsia="Arial" w:cs="Arial" w:ascii="Arial" w:hAnsi="Arial"/>
          <w:sz w:val="20"/>
          <w:szCs w:val="20"/>
        </w:rPr>
        <w:t>...................................... , ......... de ................................. de 2019.</w:t>
      </w:r>
    </w:p>
    <w:p>
      <w:pPr>
        <w:pStyle w:val="Normal"/>
        <w:shd w:fill="FFFFFF" w:val="clear"/>
        <w:spacing w:lineRule="auto" w:line="240" w:before="60" w:after="60"/>
        <w:ind w:left="0" w:right="-2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0" w:right="-2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0" w:right="-2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0" w:right="-20" w:hanging="0"/>
        <w:jc w:val="center"/>
        <w:rPr>
          <w:rFonts w:ascii="Arial" w:hAnsi="Arial" w:eastAsia="Arial" w:cs="Arial"/>
          <w:sz w:val="20"/>
          <w:szCs w:val="20"/>
        </w:rPr>
      </w:pPr>
      <w:r>
        <w:rPr>
          <w:rFonts w:eastAsia="Arial" w:cs="Arial" w:ascii="Arial" w:hAnsi="Arial"/>
          <w:sz w:val="20"/>
          <w:szCs w:val="20"/>
        </w:rPr>
      </w:r>
    </w:p>
    <w:p>
      <w:pPr>
        <w:pStyle w:val="Normal"/>
        <w:shd w:fill="FFFFFF" w:val="clear"/>
        <w:spacing w:lineRule="auto" w:line="240" w:before="60" w:after="60"/>
        <w:ind w:left="0" w:hanging="0"/>
        <w:jc w:val="center"/>
        <w:rPr>
          <w:rFonts w:ascii="Arial" w:hAnsi="Arial" w:eastAsia="Arial" w:cs="Arial"/>
          <w:b/>
          <w:b/>
          <w:sz w:val="20"/>
          <w:szCs w:val="20"/>
        </w:rPr>
      </w:pPr>
      <w:r>
        <w:rPr>
          <w:rFonts w:eastAsia="Arial" w:cs="Arial" w:ascii="Arial" w:hAnsi="Arial"/>
          <w:b/>
          <w:sz w:val="20"/>
          <w:szCs w:val="20"/>
        </w:rPr>
        <w:t>MARIA VALÉRIA COSTA CORREIA</w:t>
      </w:r>
    </w:p>
    <w:p>
      <w:pPr>
        <w:pStyle w:val="Normal"/>
        <w:shd w:fill="FFFFFF" w:val="clear"/>
        <w:spacing w:lineRule="auto" w:line="240" w:before="60" w:after="60"/>
        <w:ind w:left="0" w:hanging="0"/>
        <w:jc w:val="center"/>
        <w:rPr>
          <w:rFonts w:ascii="Arial" w:hAnsi="Arial" w:eastAsia="Arial" w:cs="Arial"/>
          <w:b/>
          <w:b/>
          <w:sz w:val="20"/>
          <w:szCs w:val="20"/>
        </w:rPr>
      </w:pPr>
      <w:r>
        <w:rPr>
          <w:rFonts w:eastAsia="Arial" w:cs="Arial" w:ascii="Arial" w:hAnsi="Arial"/>
          <w:b/>
          <w:sz w:val="20"/>
          <w:szCs w:val="20"/>
        </w:rPr>
        <w:t>Reitora da Universidade Federal de Alagoas</w:t>
      </w:r>
    </w:p>
    <w:p>
      <w:pPr>
        <w:pStyle w:val="Normal"/>
        <w:shd w:fill="FFFFFF" w:val="clear"/>
        <w:spacing w:lineRule="auto" w:line="240" w:before="60" w:after="60"/>
        <w:jc w:val="both"/>
        <w:rPr/>
      </w:pPr>
      <w:r>
        <w:rPr/>
      </w:r>
    </w:p>
    <w:sectPr>
      <w:type w:val="nextPage"/>
      <w:pgSz w:w="11906" w:h="16838"/>
      <w:pgMar w:left="1700" w:right="1133" w:header="0" w:top="1700" w:footer="0" w:bottom="1133"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right"/>
      <w:pPr>
        <w:ind w:left="720" w:hanging="360"/>
      </w:pPr>
      <w:rPr>
        <w:sz w:val="20"/>
        <w:u w:val="none"/>
      </w:rPr>
    </w:lvl>
    <w:lvl w:ilvl="1">
      <w:start w:val="1"/>
      <w:numFmt w:val="decimal"/>
      <w:lvlText w:val="%1.%2."/>
      <w:lvlJc w:val="right"/>
      <w:pPr>
        <w:ind w:left="1440" w:hanging="360"/>
      </w:pPr>
      <w:rPr>
        <w:sz w:val="20"/>
        <w:u w:val="none"/>
        <w:b w:val="false"/>
        <w:rFonts w:ascii="Arial" w:hAnsi="Arial"/>
      </w:rPr>
    </w:lvl>
    <w:lvl w:ilvl="2">
      <w:start w:val="1"/>
      <w:numFmt w:val="decimal"/>
      <w:lvlText w:val="%1.%2.%3."/>
      <w:lvlJc w:val="right"/>
      <w:pPr>
        <w:ind w:left="2160" w:hanging="360"/>
      </w:pPr>
      <w:rPr>
        <w:sz w:val="20"/>
        <w:u w:val="none"/>
        <w:rFonts w:ascii="Arial" w:hAnsi="Arial"/>
      </w:rPr>
    </w:lvl>
    <w:lvl w:ilvl="3">
      <w:start w:val="1"/>
      <w:numFmt w:val="decimal"/>
      <w:lvlText w:val="%1.%2.%3.%4."/>
      <w:lvlJc w:val="right"/>
      <w:pPr>
        <w:ind w:left="2880" w:hanging="360"/>
      </w:pPr>
      <w:rPr>
        <w:sz w:val="20"/>
        <w:u w:val="none"/>
        <w:rFonts w:ascii="Arial" w:hAnsi="Arial"/>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keepNext/>
      <w:widowControl w:val="false"/>
      <w:shd w:val="clear" w:fill="FFFFFF"/>
    </w:pPr>
    <w:rPr>
      <w:rFonts w:ascii="Liberation Serif" w:hAnsi="Liberation Serif" w:eastAsia="SimSun" w:cs="Lucida Sans"/>
      <w:color w:val="auto"/>
      <w:sz w:val="24"/>
      <w:szCs w:val="24"/>
      <w:lang w:val="en-US" w:eastAsia="zh-CN" w:bidi="hi-IN"/>
    </w:rPr>
  </w:style>
  <w:style w:type="paragraph" w:styleId="Ttulo1">
    <w:name w:val="Heading 1"/>
    <w:basedOn w:val="Normal1"/>
    <w:next w:val="Normal"/>
    <w:qFormat/>
    <w:pPr>
      <w:keepLines/>
      <w:spacing w:lineRule="auto" w:line="360" w:before="400" w:after="0"/>
      <w:jc w:val="both"/>
    </w:pPr>
    <w:rPr>
      <w:rFonts w:ascii="Arial" w:hAnsi="Arial" w:eastAsia="Arial" w:cs="Arial"/>
      <w:b/>
      <w:sz w:val="22"/>
      <w:szCs w:val="22"/>
    </w:rPr>
  </w:style>
  <w:style w:type="paragraph" w:styleId="Ttulo2">
    <w:name w:val="Heading 2"/>
    <w:basedOn w:val="Normal1"/>
    <w:next w:val="Normal"/>
    <w:qFormat/>
    <w:pPr>
      <w:keepLines/>
      <w:spacing w:lineRule="auto" w:line="240" w:before="400" w:after="60"/>
      <w:ind w:left="425" w:hanging="141"/>
      <w:jc w:val="both"/>
    </w:pPr>
    <w:rPr>
      <w:rFonts w:ascii="Arial" w:hAnsi="Arial" w:eastAsia="Arial" w:cs="Arial"/>
      <w:b/>
      <w:sz w:val="20"/>
      <w:szCs w:val="20"/>
    </w:rPr>
  </w:style>
  <w:style w:type="paragraph" w:styleId="Ttulo3">
    <w:name w:val="Heading 3"/>
    <w:basedOn w:val="Normal1"/>
    <w:next w:val="Normal"/>
    <w:qFormat/>
    <w:pPr>
      <w:keepNext/>
      <w:keepLines/>
      <w:spacing w:lineRule="auto" w:line="240" w:before="280" w:after="80"/>
    </w:pPr>
    <w:rPr>
      <w:b/>
      <w:sz w:val="28"/>
      <w:szCs w:val="28"/>
    </w:rPr>
  </w:style>
  <w:style w:type="paragraph" w:styleId="Ttulo4">
    <w:name w:val="Heading 4"/>
    <w:basedOn w:val="Normal1"/>
    <w:next w:val="Normal"/>
    <w:qFormat/>
    <w:pPr>
      <w:keepNext/>
      <w:keepLines/>
      <w:spacing w:lineRule="auto" w:line="240" w:before="240" w:after="40"/>
    </w:pPr>
    <w:rPr>
      <w:b/>
      <w:sz w:val="24"/>
      <w:szCs w:val="24"/>
    </w:rPr>
  </w:style>
  <w:style w:type="paragraph" w:styleId="Ttulo5">
    <w:name w:val="Heading 5"/>
    <w:basedOn w:val="Normal1"/>
    <w:next w:val="Normal"/>
    <w:qFormat/>
    <w:pPr>
      <w:keepNext/>
      <w:keepLines/>
      <w:spacing w:lineRule="auto" w:line="240" w:before="220" w:after="40"/>
    </w:pPr>
    <w:rPr>
      <w:b/>
      <w:sz w:val="22"/>
      <w:szCs w:val="22"/>
    </w:rPr>
  </w:style>
  <w:style w:type="paragraph" w:styleId="Ttulo6">
    <w:name w:val="Heading 6"/>
    <w:basedOn w:val="Normal1"/>
    <w:next w:val="Normal"/>
    <w:qFormat/>
    <w:pPr>
      <w:keepNext/>
      <w:keepLines/>
      <w:spacing w:lineRule="auto" w:line="240" w:before="200" w:after="40"/>
    </w:pPr>
    <w:rPr>
      <w:b/>
      <w:sz w:val="20"/>
      <w:szCs w:val="20"/>
    </w:rPr>
  </w:style>
  <w:style w:type="character" w:styleId="ListLabel1">
    <w:name w:val="ListLabel 1"/>
    <w:qFormat/>
    <w:rPr>
      <w:sz w:val="20"/>
      <w:u w:val="none"/>
    </w:rPr>
  </w:style>
  <w:style w:type="character" w:styleId="ListLabel2">
    <w:name w:val="ListLabel 2"/>
    <w:qFormat/>
    <w:rPr>
      <w:rFonts w:ascii="Arial" w:hAnsi="Arial"/>
      <w:b w:val="false"/>
      <w:sz w:val="20"/>
      <w:u w:val="none"/>
    </w:rPr>
  </w:style>
  <w:style w:type="character" w:styleId="ListLabel3">
    <w:name w:val="ListLabel 3"/>
    <w:qFormat/>
    <w:rPr>
      <w:rFonts w:ascii="Arial" w:hAnsi="Arial"/>
      <w:sz w:val="20"/>
      <w:u w:val="none"/>
    </w:rPr>
  </w:style>
  <w:style w:type="character" w:styleId="ListLabel4">
    <w:name w:val="ListLabel 4"/>
    <w:qFormat/>
    <w:rPr>
      <w:rFonts w:ascii="Arial" w:hAnsi="Arial"/>
      <w:sz w:val="20"/>
      <w:u w:val="none"/>
    </w:rPr>
  </w:style>
  <w:style w:type="character" w:styleId="ListLabel5">
    <w:name w:val="ListLabel 5"/>
    <w:qFormat/>
    <w:rPr>
      <w:u w:val="none"/>
    </w:rPr>
  </w:style>
  <w:style w:type="character" w:styleId="ListLabel6">
    <w:name w:val="ListLabel 6"/>
    <w:qFormat/>
    <w:rPr>
      <w:u w:val="none"/>
    </w:rPr>
  </w:style>
  <w:style w:type="character" w:styleId="ListLabel7">
    <w:name w:val="ListLabel 7"/>
    <w:qFormat/>
    <w:rPr>
      <w:u w:val="none"/>
    </w:rPr>
  </w:style>
  <w:style w:type="character" w:styleId="ListLabel8">
    <w:name w:val="ListLabel 8"/>
    <w:qFormat/>
    <w:rPr>
      <w:u w:val="none"/>
    </w:rPr>
  </w:style>
  <w:style w:type="character" w:styleId="ListLabel9">
    <w:name w:val="ListLabel 9"/>
    <w:qFormat/>
    <w:rPr>
      <w:u w:val="none"/>
    </w:rPr>
  </w:style>
  <w:style w:type="character" w:styleId="LinkdaInternet">
    <w:name w:val="Link da Internet"/>
    <w:rPr>
      <w:color w:val="000080"/>
      <w:u w:val="single"/>
      <w:lang w:val="zxx" w:eastAsia="zxx" w:bidi="zxx"/>
    </w:rPr>
  </w:style>
  <w:style w:type="paragraph" w:styleId="Ttulo">
    <w:name w:val="Título"/>
    <w:basedOn w:val="Normal"/>
    <w:next w:val="Corpodetexto"/>
    <w:qFormat/>
    <w:pPr>
      <w:keepNext/>
      <w:shd w:fill="FFFFFF" w:val="clear"/>
      <w:spacing w:before="240" w:after="120"/>
    </w:pPr>
    <w:rPr>
      <w:rFonts w:ascii="Liberation Sans" w:hAnsi="Liberation Sans" w:eastAsia="Microsoft YaHei" w:cs="Lucida Sans"/>
      <w:sz w:val="28"/>
      <w:szCs w:val="28"/>
    </w:rPr>
  </w:style>
  <w:style w:type="paragraph" w:styleId="Corpodetexto">
    <w:name w:val="Body Text"/>
    <w:basedOn w:val="Normal"/>
    <w:pPr>
      <w:shd w:fill="FFFFFF" w:val="clear"/>
      <w:spacing w:lineRule="auto" w:line="288" w:before="0" w:after="140"/>
    </w:pPr>
    <w:rPr/>
  </w:style>
  <w:style w:type="paragraph" w:styleId="Lista">
    <w:name w:val="List"/>
    <w:basedOn w:val="Corpodetexto"/>
    <w:pPr>
      <w:shd w:fill="FFFFFF" w:val="clear"/>
    </w:pPr>
    <w:rPr>
      <w:rFonts w:cs="Lucida Sans"/>
    </w:rPr>
  </w:style>
  <w:style w:type="paragraph" w:styleId="Legenda">
    <w:name w:val="Caption"/>
    <w:basedOn w:val="Normal"/>
    <w:qFormat/>
    <w:pPr>
      <w:suppressLineNumbers/>
      <w:shd w:fill="FFFFFF" w:val="clear"/>
      <w:spacing w:before="120" w:after="120"/>
    </w:pPr>
    <w:rPr>
      <w:rFonts w:cs="Lucida Sans"/>
      <w:i/>
      <w:iCs/>
      <w:sz w:val="24"/>
      <w:szCs w:val="24"/>
    </w:rPr>
  </w:style>
  <w:style w:type="paragraph" w:styleId="Ndice">
    <w:name w:val="Índice"/>
    <w:basedOn w:val="Normal"/>
    <w:qFormat/>
    <w:pPr>
      <w:suppressLineNumbers/>
      <w:shd w:fill="FFFFFF" w:val="clear"/>
    </w:pPr>
    <w:rPr>
      <w:rFonts w:cs="Lucida Sans"/>
    </w:rPr>
  </w:style>
  <w:style w:type="paragraph" w:styleId="Normal1" w:default="1">
    <w:name w:val="LO-normal"/>
    <w:qFormat/>
    <w:pPr>
      <w:widowControl/>
      <w:bidi w:val="0"/>
      <w:jc w:val="left"/>
    </w:pPr>
    <w:rPr>
      <w:rFonts w:ascii="Liberation Serif" w:hAnsi="Liberation Serif" w:eastAsia="SimSun" w:cs="Lucida Sans"/>
      <w:color w:val="auto"/>
      <w:sz w:val="24"/>
      <w:szCs w:val="24"/>
      <w:lang w:val="en-US" w:eastAsia="zh-CN" w:bidi="hi-IN"/>
    </w:rPr>
  </w:style>
  <w:style w:type="paragraph" w:styleId="Ttulododocumento">
    <w:name w:val="Title"/>
    <w:basedOn w:val="Normal1"/>
    <w:next w:val="Normal"/>
    <w:qFormat/>
    <w:pPr>
      <w:keepNext/>
      <w:keepLines/>
      <w:spacing w:lineRule="auto" w:line="240" w:before="480" w:after="120"/>
    </w:pPr>
    <w:rPr>
      <w:b/>
      <w:sz w:val="72"/>
      <w:szCs w:val="72"/>
    </w:rPr>
  </w:style>
  <w:style w:type="paragraph" w:styleId="Subttulo">
    <w:name w:val="Subtitle"/>
    <w:basedOn w:val="Normal1"/>
    <w:next w:val="Normal"/>
    <w:qFormat/>
    <w:pPr>
      <w:keepNext/>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3"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4" Type="http://schemas.openxmlformats.org/officeDocument/2006/relationships/hyperlink" Target="http://www.portaldatransparencia.gov.br/ceis" TargetMode="External"/><Relationship Id="rId5" Type="http://schemas.openxmlformats.org/officeDocument/2006/relationships/hyperlink" Target="http://www.cnj.jus.br/improbidade_adm/consultar_requerido.php"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LibreOffice/5.3.1.2$Windows_X86_64 LibreOffice_project/e80a0e0fd1875e1696614d24c32df0f95f03deb2</Application>
  <Pages>22</Pages>
  <Words>8163</Words>
  <Characters>46197</Characters>
  <CharactersWithSpaces>53812</CharactersWithSpaces>
  <Paragraphs>313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2019-05-10T11:35:49Z</dcterms:modified>
  <cp:revision>1</cp:revision>
  <dc:subject/>
  <dc:title/>
</cp:coreProperties>
</file>