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0" w:rsidRPr="007A362E" w:rsidRDefault="007A362E" w:rsidP="007A362E">
      <w:pPr>
        <w:pStyle w:val="normal0"/>
        <w:widowControl w:val="0"/>
        <w:spacing w:after="0" w:line="276" w:lineRule="auto"/>
        <w:jc w:val="center"/>
        <w:rPr>
          <w:b/>
        </w:rPr>
      </w:pPr>
      <w:r>
        <w:rPr>
          <w:b/>
        </w:rPr>
        <w:t>ANEXO II</w:t>
      </w:r>
    </w:p>
    <w:p w:rsidR="00C86F70" w:rsidRDefault="007A362E">
      <w:pPr>
        <w:pStyle w:val="normal0"/>
        <w:spacing w:before="120" w:after="120" w:line="240" w:lineRule="auto"/>
        <w:jc w:val="center"/>
        <w:rPr>
          <w:b/>
        </w:rPr>
      </w:pPr>
      <w:r>
        <w:rPr>
          <w:b/>
        </w:rPr>
        <w:t>MINUTA DO TERMO DE CONTRATO DE PRESTAÇÃO DE SERVIÇOS</w:t>
      </w:r>
    </w:p>
    <w:p w:rsidR="00C86F70" w:rsidRDefault="00C86F70">
      <w:pPr>
        <w:pStyle w:val="normal0"/>
        <w:spacing w:before="120" w:after="120" w:line="240" w:lineRule="auto"/>
        <w:jc w:val="center"/>
        <w:rPr>
          <w:b/>
        </w:rPr>
      </w:pPr>
    </w:p>
    <w:p w:rsidR="00C86F70" w:rsidRDefault="007A362E">
      <w:pPr>
        <w:pStyle w:val="normal0"/>
        <w:spacing w:before="120" w:after="120" w:line="240" w:lineRule="auto"/>
        <w:ind w:left="4253"/>
        <w:jc w:val="both"/>
        <w:rPr>
          <w:b/>
        </w:rPr>
      </w:pPr>
      <w:r>
        <w:rPr>
          <w:b/>
        </w:rPr>
        <w:t xml:space="preserve">TERMO DE CONTRATO DE PRESTAÇÃO DE SERVIÇOS </w:t>
      </w:r>
      <w:proofErr w:type="gramStart"/>
      <w:r>
        <w:rPr>
          <w:b/>
        </w:rPr>
        <w:t>Nº ...</w:t>
      </w:r>
      <w:proofErr w:type="gramEnd"/>
      <w:r>
        <w:rPr>
          <w:b/>
        </w:rPr>
        <w:t>......../..........., QUE FAZEM ENTRE SI A UNIVERSIDADE FEDERAL DE ALAGOAS E A EMPRESA ...........</w:t>
      </w:r>
    </w:p>
    <w:p w:rsidR="00C86F70" w:rsidRDefault="00C86F70">
      <w:pPr>
        <w:pStyle w:val="normal0"/>
        <w:spacing w:before="120" w:after="120" w:line="240" w:lineRule="auto"/>
        <w:jc w:val="center"/>
      </w:pPr>
    </w:p>
    <w:p w:rsidR="00C86F70" w:rsidRDefault="007A362E">
      <w:pPr>
        <w:pStyle w:val="normal0"/>
        <w:spacing w:before="120" w:after="120" w:line="240" w:lineRule="auto"/>
        <w:jc w:val="both"/>
      </w:pPr>
      <w:r>
        <w:t xml:space="preserve">A </w:t>
      </w:r>
      <w:r>
        <w:rPr>
          <w:b/>
        </w:rPr>
        <w:t xml:space="preserve">UNIVERSIDADE FEDERAL DE ALAGOAS </w:t>
      </w:r>
      <w:r>
        <w:t xml:space="preserve">com </w:t>
      </w:r>
      <w:proofErr w:type="gramStart"/>
      <w:r>
        <w:t>no(</w:t>
      </w:r>
      <w:proofErr w:type="gramEnd"/>
      <w:r>
        <w:t>a) ..........., na cidade de ..........., inscrito(a) no CNPJ/MF s</w:t>
      </w:r>
      <w:r>
        <w:t xml:space="preserve">ob o nº ..........., neste ato representado(a) pelo(a) ........... </w:t>
      </w:r>
      <w:r>
        <w:rPr>
          <w:i/>
        </w:rPr>
        <w:t>(cargo e nome)</w:t>
      </w:r>
      <w:r>
        <w:t xml:space="preserve">, </w:t>
      </w:r>
      <w:proofErr w:type="gramStart"/>
      <w:r>
        <w:t>nomeado(</w:t>
      </w:r>
      <w:proofErr w:type="gramEnd"/>
      <w:r>
        <w:t xml:space="preserve">a) pela Portaria nº ........... </w:t>
      </w:r>
      <w:proofErr w:type="gramStart"/>
      <w:r>
        <w:t>de</w:t>
      </w:r>
      <w:proofErr w:type="gramEnd"/>
      <w:r>
        <w:t xml:space="preserve"> [DD] de [MM] de [AAAA], publicada no </w:t>
      </w:r>
      <w:r>
        <w:rPr>
          <w:i/>
        </w:rPr>
        <w:t>DOU</w:t>
      </w:r>
      <w:r>
        <w:t xml:space="preserve"> de [DD] de [MM] de [AAAA], inscrito(a) no CPF sob o nº ..........., portador(a) da Cartei</w:t>
      </w:r>
      <w:r>
        <w:t>ra de Identidade nº ..........., doravante designada CONTRATANTE, e o(a) ..........., inscrito(a) no CNPJ/MF sob o nº ..........., sediado(a) na ..........., em ..........., doravante designada CONTRATADA, neste ato representada pelo(a) Sr.(a) ...........,</w:t>
      </w:r>
      <w:r>
        <w:t xml:space="preserve"> portador(a) da Carteira de Identidade nº ..........., expedida pela(o) ..........., e CPF nº ..........., tendo em vista o que consta no Processo nº ........... </w:t>
      </w:r>
      <w:proofErr w:type="gramStart"/>
      <w:r>
        <w:t>e</w:t>
      </w:r>
      <w:proofErr w:type="gramEnd"/>
      <w:r>
        <w:t xml:space="preserve"> em observância ás disposições da Lei nº 8.666, de 21 de junho de 1993, da Lei nº 40.520, de </w:t>
      </w:r>
      <w:r>
        <w:t>17 de julho de 2002, do Decreto nº 7.892, de 23 de janeiro de 2013, do Decreto nº 2.271, de 7 de julho de 1997 e da Instrução Normativa SLTI/MPOG nº 02, de 30 de abril de 2008 e suas alterações, resolvem celebrar o presente Termo de Contrato, decorrente do</w:t>
      </w:r>
      <w:r>
        <w:t xml:space="preserve"> Pregão nº .........../..........., mediante as cláusulas e condições a segui enunciadas.</w:t>
      </w:r>
    </w:p>
    <w:p w:rsidR="00C86F70" w:rsidRDefault="007A362E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CLÁUSULA PRIMEIRA – OBJETO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720"/>
        <w:jc w:val="both"/>
      </w:pPr>
      <w:r>
        <w:rPr>
          <w:color w:val="000000"/>
        </w:rPr>
        <w:t xml:space="preserve">O objeto do presente instrumento é a contratação de serviços </w:t>
      </w:r>
      <w:proofErr w:type="gramStart"/>
      <w:r>
        <w:rPr>
          <w:color w:val="000000"/>
        </w:rPr>
        <w:t>de ...</w:t>
      </w:r>
      <w:proofErr w:type="gramEnd"/>
      <w:r>
        <w:rPr>
          <w:color w:val="000000"/>
        </w:rPr>
        <w:t>........, que serão prestados nas condições estabelecidas no Termo de Re</w:t>
      </w:r>
      <w:r>
        <w:rPr>
          <w:color w:val="000000"/>
        </w:rPr>
        <w:t>ferência, Anexo do Edital.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720"/>
        <w:jc w:val="both"/>
      </w:pPr>
      <w:r>
        <w:rPr>
          <w:color w:val="000000"/>
        </w:rPr>
        <w:t>Este Termo de Contrato vincula-se ao Edital do Pregão, identificado no preâmbulo e à proposta vencedora, independentemente de transcrição.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hanging="720"/>
        <w:jc w:val="both"/>
      </w:pPr>
      <w:r>
        <w:rPr>
          <w:color w:val="000000"/>
        </w:rPr>
        <w:t>Objeto da contratação:</w:t>
      </w:r>
    </w:p>
    <w:tbl>
      <w:tblPr>
        <w:tblStyle w:val="af4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3"/>
        <w:gridCol w:w="3272"/>
        <w:gridCol w:w="615"/>
        <w:gridCol w:w="1235"/>
        <w:gridCol w:w="1440"/>
        <w:gridCol w:w="1518"/>
      </w:tblGrid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SERVIÇO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440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VALOR UNIT.</w:t>
            </w:r>
          </w:p>
        </w:tc>
        <w:tc>
          <w:tcPr>
            <w:tcW w:w="1518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</w:pPr>
            <w:r>
              <w:t xml:space="preserve">Acesso </w:t>
            </w:r>
            <w:proofErr w:type="gramStart"/>
            <w:r>
              <w:t>as</w:t>
            </w:r>
            <w:proofErr w:type="gramEnd"/>
            <w:r>
              <w:t xml:space="preserve"> novas versões do SIGAA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Licença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</w:pPr>
            <w:r>
              <w:t xml:space="preserve">Acesso </w:t>
            </w:r>
            <w:proofErr w:type="gramStart"/>
            <w:r>
              <w:t>as</w:t>
            </w:r>
            <w:proofErr w:type="gramEnd"/>
            <w:r>
              <w:t xml:space="preserve"> novas versões do SIPAC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Licença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</w:pPr>
            <w:r>
              <w:t xml:space="preserve">Acesso </w:t>
            </w:r>
            <w:proofErr w:type="gramStart"/>
            <w:r>
              <w:t>as</w:t>
            </w:r>
            <w:proofErr w:type="gramEnd"/>
            <w:r>
              <w:t xml:space="preserve"> novas versões do SIGRH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Licença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</w:pPr>
            <w:r>
              <w:t xml:space="preserve">Acesso </w:t>
            </w:r>
            <w:proofErr w:type="gramStart"/>
            <w:r>
              <w:t>as</w:t>
            </w:r>
            <w:proofErr w:type="gramEnd"/>
            <w:r>
              <w:t xml:space="preserve"> novas versões dos Demais Sistemas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Licença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  <w:spacing w:before="120" w:after="120"/>
            </w:pPr>
            <w:r>
              <w:t>Atualização de Sistema SIG-UFRN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Serviço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</w:pPr>
            <w:r>
              <w:t>Customização / Migração de Dados / Implantação de Módulos / Atualização de Funcionalidade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800</w:t>
            </w:r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Ponto de Função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</w:pPr>
            <w:r>
              <w:t xml:space="preserve">Suporte Técnico de Nível </w:t>
            </w:r>
            <w:proofErr w:type="gramStart"/>
            <w:r>
              <w:t>2</w:t>
            </w:r>
            <w:proofErr w:type="gramEnd"/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12</w:t>
            </w:r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Serviço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</w:pPr>
            <w:r>
              <w:t xml:space="preserve">Sustentação Técnica dos Sistemas </w:t>
            </w:r>
            <w:r>
              <w:lastRenderedPageBreak/>
              <w:t>SIG-UFRN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lastRenderedPageBreak/>
              <w:t>12</w:t>
            </w:r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Serviço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414" w:type="dxa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center"/>
            </w:pPr>
            <w:proofErr w:type="gramStart"/>
            <w:r>
              <w:lastRenderedPageBreak/>
              <w:t>9</w:t>
            </w:r>
            <w:proofErr w:type="gramEnd"/>
          </w:p>
        </w:tc>
        <w:tc>
          <w:tcPr>
            <w:tcW w:w="3272" w:type="dxa"/>
            <w:vAlign w:val="center"/>
          </w:tcPr>
          <w:p w:rsidR="00C86F70" w:rsidRDefault="007A362E">
            <w:pPr>
              <w:pStyle w:val="normal0"/>
            </w:pPr>
            <w:r>
              <w:t>Apoio Presencial</w:t>
            </w:r>
          </w:p>
        </w:tc>
        <w:tc>
          <w:tcPr>
            <w:tcW w:w="61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10</w:t>
            </w:r>
          </w:p>
        </w:tc>
        <w:tc>
          <w:tcPr>
            <w:tcW w:w="1235" w:type="dxa"/>
            <w:vAlign w:val="center"/>
          </w:tcPr>
          <w:p w:rsidR="00C86F70" w:rsidRDefault="007A362E">
            <w:pPr>
              <w:pStyle w:val="normal0"/>
              <w:spacing w:before="120" w:after="120"/>
              <w:jc w:val="center"/>
            </w:pPr>
            <w:r>
              <w:t>Viagem</w:t>
            </w:r>
          </w:p>
        </w:tc>
        <w:tc>
          <w:tcPr>
            <w:tcW w:w="1440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  <w:tr w:rsidR="00C86F70">
        <w:tc>
          <w:tcPr>
            <w:tcW w:w="6976" w:type="dxa"/>
            <w:gridSpan w:val="5"/>
            <w:vAlign w:val="center"/>
          </w:tcPr>
          <w:p w:rsidR="00C86F70" w:rsidRDefault="007A362E">
            <w:pPr>
              <w:pStyle w:val="normal0"/>
              <w:spacing w:before="120" w:after="120"/>
              <w:ind w:left="709" w:hanging="709"/>
              <w:jc w:val="right"/>
              <w:rPr>
                <w:b/>
              </w:rPr>
            </w:pPr>
            <w:r>
              <w:rPr>
                <w:b/>
              </w:rPr>
              <w:t>VALOR GLOBAL</w:t>
            </w:r>
          </w:p>
        </w:tc>
        <w:tc>
          <w:tcPr>
            <w:tcW w:w="1518" w:type="dxa"/>
          </w:tcPr>
          <w:p w:rsidR="00C86F70" w:rsidRDefault="00C86F70">
            <w:pPr>
              <w:pStyle w:val="normal0"/>
              <w:spacing w:before="120" w:after="120"/>
              <w:ind w:left="709" w:hanging="709"/>
              <w:jc w:val="both"/>
            </w:pPr>
          </w:p>
        </w:tc>
      </w:tr>
    </w:tbl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SEGUNDA – VIGÊNCIA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O prazo da vigência deste Termo de Contrato é aquele fixado no Edital, com início na data </w:t>
      </w:r>
      <w:proofErr w:type="gramStart"/>
      <w:r>
        <w:rPr>
          <w:color w:val="000000"/>
        </w:rPr>
        <w:t>de ...</w:t>
      </w:r>
      <w:proofErr w:type="gramEnd"/>
      <w:r>
        <w:rPr>
          <w:color w:val="000000"/>
        </w:rPr>
        <w:t xml:space="preserve">........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encerramento em ...........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..........., podendo ser prorrogado por interesse das partes até o limite</w:t>
      </w:r>
      <w:r>
        <w:rPr>
          <w:color w:val="000000"/>
        </w:rPr>
        <w:t xml:space="preserve"> de 60 (sessenta) meses, desde que haja autorização formal da autoridade competente e observados os seguintes requisitos: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Os serviços tenham sido prestados regularmente;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 Administração mantenha interesse na realização do serviço;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 valo do contrato permaneça economicamente vantajoso para Administração;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 CONTRATADA manifeste expressamente interesse na prorrogação;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 CONTRATADA não tem direito subjetivo à prorrogação contratual.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 prorrogação de contrato deverá ser promovida mediant</w:t>
      </w:r>
      <w:r>
        <w:rPr>
          <w:color w:val="000000"/>
        </w:rPr>
        <w:t>e celebração de termo aditivo.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TERCEIRA – PREÇO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O valor total da contratação é de </w:t>
      </w:r>
      <w:proofErr w:type="gramStart"/>
      <w:r>
        <w:rPr>
          <w:color w:val="000000"/>
        </w:rPr>
        <w:t>R$ ...</w:t>
      </w:r>
      <w:proofErr w:type="gramEnd"/>
      <w:r>
        <w:rPr>
          <w:color w:val="000000"/>
        </w:rPr>
        <w:t>........ (</w:t>
      </w:r>
      <w:proofErr w:type="gramStart"/>
      <w:r>
        <w:rPr>
          <w:color w:val="000000"/>
        </w:rPr>
        <w:t>...........</w:t>
      </w:r>
      <w:proofErr w:type="gramEnd"/>
      <w:r>
        <w:rPr>
          <w:color w:val="000000"/>
        </w:rPr>
        <w:t>).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</w:t>
      </w:r>
      <w:r>
        <w:rPr>
          <w:color w:val="000000"/>
        </w:rPr>
        <w:t>ete, seguro e outros necessários ao cumprimento integral do objeto da contratação.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QUARTA – DOTAÇÃO ORÇAMENTÁRIA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As despesas decorrentes desta contratação estão programadas em dotação orçamentária própria, prevista no orçamento da União, para o ex</w:t>
      </w:r>
      <w:r>
        <w:rPr>
          <w:color w:val="000000"/>
        </w:rPr>
        <w:t xml:space="preserve">ercício </w:t>
      </w:r>
      <w:proofErr w:type="gramStart"/>
      <w:r>
        <w:rPr>
          <w:color w:val="000000"/>
        </w:rPr>
        <w:t>de ...</w:t>
      </w:r>
      <w:proofErr w:type="gramEnd"/>
      <w:r>
        <w:rPr>
          <w:color w:val="000000"/>
        </w:rPr>
        <w:t>........, na classificação abaixo: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Gestão/Unidade: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Fonte: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Programa de Trabalho: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Elemento da Despesa;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PI: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No(s) exercício(s) seguinte(s), correrão à conta dos recursos próprios para atender às despesas da mesma natureza, cuja alocação será feita no início de cada exercício financeiro.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QUINTA – PAGAMENTO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 prazo para pagamento à CONTRATADA e demais condições a ele referentes encontram-se definidos no Edital.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CLÁUSULA SEXTA – REAJUSTE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O preço consignado no contrato será corrigido anualmente, observado o interregno mínimo de um ano, contado a partir da data </w:t>
      </w:r>
      <w:r>
        <w:rPr>
          <w:color w:val="000000"/>
        </w:rPr>
        <w:t>limite para a apresentação da proposta, pela variação do IGP.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Nos reajustes subsequentes ao primeiro, o interregno mínimo de um ano será contado a partir dos efeitos financeiros do último reajuste.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SÉTIMA – REGIME DE EXECUÇÃO DOS SERVIÇOS E FISCAL</w:t>
      </w:r>
      <w:r>
        <w:rPr>
          <w:b/>
          <w:color w:val="000000"/>
        </w:rPr>
        <w:t>IZAÇÃO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 regime de execução dos serviços a serem executados pela CONTRATADA, os materiais que serão empregados e a fiscalização pela CONTRATANTE são aqueles previstos no Termo de Referência, Anexo do Edital.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OITAVA – OBRIGAÇÕES DA CONTRATANTE E DA</w:t>
      </w:r>
      <w:r>
        <w:rPr>
          <w:b/>
          <w:color w:val="000000"/>
        </w:rPr>
        <w:t xml:space="preserve"> CONTRATADA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As obrigações da CONTRATANTE e da CONTRATADA são aquelas previstas no Termo de Referência, Anexo do Edital.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NONA – SANÇÕES ADMINISTRATIVAS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As sanções relacionadas à execução do contrato são aquelas previstas no Termo de Referência, ane</w:t>
      </w:r>
      <w:r>
        <w:rPr>
          <w:color w:val="000000"/>
        </w:rPr>
        <w:t>xo do Edital.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CLÁUSULA DÉCIMA – </w:t>
      </w:r>
      <w:r>
        <w:rPr>
          <w:b/>
        </w:rPr>
        <w:t>RESCISÃO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O presente Termo de Contrato poderá ser rescindido nas hipóteses previstas no art. 78 da Lei nº 8.666/1993, com as consequências indicadas no art. 80 da mesma Lei, sem prejuízo da aplicação das sanções previstas no </w:t>
      </w:r>
      <w:r>
        <w:rPr>
          <w:color w:val="000000"/>
        </w:rPr>
        <w:t>Termo de Referência, Anexo do Edital.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Os casos de rescisão contratual serão formalmente motivados, assegurando-se à CONTRATADA o direito à prévia e ampla defesa.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A CONTRATADA reconhece os direitos da CONTRATANTE em caso de rescisão administrativa prevista </w:t>
      </w:r>
      <w:r>
        <w:rPr>
          <w:color w:val="000000"/>
        </w:rPr>
        <w:t>no art. 77 da Lei nº 8.666/1993.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 Termo de Rescisão, sempre que possível, será precedido: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Balanço dos eventos contratuais já cumpridos ou parcialmente cumpridos;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Relação dos pagamentos já efetuados e ainda devidos;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Indenizações e multas.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DÉCIMA PRIMEIRA – VEDAÇÕES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É vedado à CONTRATADA: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Caucionar ou utilizar este Termo de Contrato para qualquer operação financeira;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Interromper a execução dos serviços </w:t>
      </w:r>
      <w:proofErr w:type="gramStart"/>
      <w:r>
        <w:rPr>
          <w:color w:val="000000"/>
        </w:rPr>
        <w:t>sob alegação</w:t>
      </w:r>
      <w:proofErr w:type="gramEnd"/>
      <w:r>
        <w:rPr>
          <w:color w:val="000000"/>
        </w:rPr>
        <w:t xml:space="preserve"> de inadimplemento por parte da CONTRATANTE, salvo nos casos previstos em Lei.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DÉCIMA SEGUNDA – ALTERAÇÕES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Eventuais alterações contratuais reger-se-ão pela disciplina do art. 65 da Lei nº 8.666/1993</w:t>
      </w:r>
      <w:r>
        <w:rPr>
          <w:color w:val="000000"/>
        </w:rPr>
        <w:t>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A CONTRATADA é </w:t>
      </w:r>
      <w:proofErr w:type="gramStart"/>
      <w:r>
        <w:rPr>
          <w:color w:val="000000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>
        <w:rPr>
          <w:color w:val="000000"/>
        </w:rPr>
        <w:t>.</w:t>
      </w:r>
    </w:p>
    <w:p w:rsidR="00C86F70" w:rsidRDefault="007A362E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lastRenderedPageBreak/>
        <w:t>É vedado efetuar acréscimos nos quantitati</w:t>
      </w:r>
      <w:r>
        <w:rPr>
          <w:color w:val="000000"/>
        </w:rPr>
        <w:t>vos fixados pela Ata de Registro de Preços, inclusive o acréscimo de que trata o § 1º do art. 65 da Lei nº 8.666/1993.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 xml:space="preserve">As supressões </w:t>
      </w:r>
      <w:proofErr w:type="gramStart"/>
      <w:r>
        <w:rPr>
          <w:color w:val="000000"/>
        </w:rPr>
        <w:t>resultantes de acordo celebrado</w:t>
      </w:r>
      <w:proofErr w:type="gramEnd"/>
      <w:r>
        <w:rPr>
          <w:color w:val="000000"/>
        </w:rPr>
        <w:t xml:space="preserve"> entre as partes contratantes poderão exceder o limite de 25% (vinte e cinco por cento) do valor inicial atualizado do contrato.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DÉCIMA TERCEIRA – DOS CASOS OMISSOS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Os casos omissos serão decididos pela</w:t>
      </w:r>
      <w:r>
        <w:rPr>
          <w:color w:val="000000"/>
        </w:rPr>
        <w:t xml:space="preserve"> CONTRATANTE, segundo as disposições contidas na Lei nº 8.666/1993, na Lei nº 10.520/2002 e demais normas federais aplicáveis e, subsidiariamente, segundo as disposições contidas na Lei nº 8.078/1990 – Código de Defesa do Consumidor – e normas e princípios</w:t>
      </w:r>
      <w:r>
        <w:rPr>
          <w:color w:val="000000"/>
        </w:rPr>
        <w:t xml:space="preserve"> gerais dos contratos.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DÉCIMA QUARTA – PUBLICAÇÃO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Incumbirá à CONTRATANTE providenciar a publicação deste instrumento, por extrato, no Diário Oficial da União, no prazo previsto na Lei nº 8.666/1993.</w:t>
      </w:r>
    </w:p>
    <w:p w:rsidR="00C86F70" w:rsidRDefault="007A36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CLÁUSULA DÉCIMA QUINTA – FORO</w:t>
      </w:r>
    </w:p>
    <w:p w:rsidR="00C86F70" w:rsidRDefault="007A362E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709"/>
        <w:jc w:val="both"/>
      </w:pPr>
      <w:r>
        <w:rPr>
          <w:color w:val="000000"/>
        </w:rPr>
        <w:t>O Foro para soluc</w:t>
      </w:r>
      <w:r>
        <w:rPr>
          <w:color w:val="000000"/>
        </w:rPr>
        <w:t xml:space="preserve">ionar litígios que decorrerem da execução deste Termo de Contrato será o da Seção Judiciária </w:t>
      </w:r>
      <w:proofErr w:type="gramStart"/>
      <w:r>
        <w:rPr>
          <w:color w:val="000000"/>
        </w:rPr>
        <w:t>de ...</w:t>
      </w:r>
      <w:proofErr w:type="gramEnd"/>
      <w:r>
        <w:rPr>
          <w:color w:val="000000"/>
        </w:rPr>
        <w:t>........ – Justiça Federal.</w:t>
      </w:r>
    </w:p>
    <w:p w:rsidR="00C86F70" w:rsidRDefault="00C86F70">
      <w:pPr>
        <w:pStyle w:val="normal0"/>
        <w:spacing w:before="120" w:after="120" w:line="240" w:lineRule="auto"/>
        <w:jc w:val="both"/>
      </w:pPr>
    </w:p>
    <w:p w:rsidR="00C86F70" w:rsidRDefault="007A362E">
      <w:pPr>
        <w:pStyle w:val="normal0"/>
        <w:spacing w:before="120" w:after="120" w:line="240" w:lineRule="auto"/>
        <w:jc w:val="both"/>
      </w:pPr>
      <w:r>
        <w:t xml:space="preserve">Para firmeza e validade do pactuado, o presente Termo de Contrato foi lavrado em três vias de igual teor, que, depois de ligo e </w:t>
      </w:r>
      <w:r>
        <w:t>achado em ordem, vai assinado pelos contraentes.</w:t>
      </w:r>
    </w:p>
    <w:p w:rsidR="00C86F70" w:rsidRDefault="00C86F70">
      <w:pPr>
        <w:pStyle w:val="normal0"/>
        <w:spacing w:before="120" w:after="120" w:line="240" w:lineRule="auto"/>
        <w:jc w:val="both"/>
      </w:pPr>
    </w:p>
    <w:p w:rsidR="00C86F70" w:rsidRDefault="007A362E">
      <w:pPr>
        <w:pStyle w:val="normal0"/>
        <w:spacing w:before="120" w:after="120" w:line="240" w:lineRule="auto"/>
        <w:jc w:val="both"/>
      </w:pPr>
      <w:proofErr w:type="gramStart"/>
      <w:r>
        <w:t>...........</w:t>
      </w:r>
      <w:proofErr w:type="gramEnd"/>
      <w:r>
        <w:t xml:space="preserve">, ........... </w:t>
      </w:r>
      <w:proofErr w:type="gramStart"/>
      <w:r>
        <w:t>de</w:t>
      </w:r>
      <w:proofErr w:type="gramEnd"/>
      <w:r>
        <w:t xml:space="preserve"> ........... </w:t>
      </w:r>
      <w:proofErr w:type="gramStart"/>
      <w:r>
        <w:t>de</w:t>
      </w:r>
      <w:proofErr w:type="gramEnd"/>
      <w:r>
        <w:t xml:space="preserve"> ...........</w:t>
      </w:r>
    </w:p>
    <w:p w:rsidR="00C86F70" w:rsidRDefault="00C86F70">
      <w:pPr>
        <w:pStyle w:val="normal0"/>
        <w:spacing w:before="120" w:after="120" w:line="240" w:lineRule="auto"/>
        <w:jc w:val="both"/>
      </w:pPr>
    </w:p>
    <w:p w:rsidR="00C86F70" w:rsidRDefault="00C86F70">
      <w:pPr>
        <w:pStyle w:val="normal0"/>
        <w:spacing w:before="120" w:after="120" w:line="240" w:lineRule="auto"/>
        <w:jc w:val="center"/>
        <w:sectPr w:rsidR="00C86F70"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842" w:header="708" w:footer="708" w:gutter="0"/>
          <w:pgNumType w:start="1"/>
          <w:cols w:space="720"/>
          <w:titlePg/>
        </w:sectPr>
      </w:pPr>
    </w:p>
    <w:p w:rsidR="00C86F70" w:rsidRDefault="007A362E">
      <w:pPr>
        <w:pStyle w:val="normal0"/>
        <w:spacing w:before="120" w:after="120" w:line="240" w:lineRule="auto"/>
        <w:jc w:val="center"/>
      </w:pPr>
      <w:r>
        <w:lastRenderedPageBreak/>
        <w:t>________________________________</w:t>
      </w:r>
      <w:r>
        <w:br/>
        <w:t>Representante legal da CONTRATANTE</w:t>
      </w:r>
    </w:p>
    <w:p w:rsidR="00C86F70" w:rsidRDefault="00C86F70">
      <w:pPr>
        <w:pStyle w:val="normal0"/>
        <w:spacing w:before="120" w:after="120" w:line="240" w:lineRule="auto"/>
        <w:jc w:val="center"/>
      </w:pPr>
    </w:p>
    <w:p w:rsidR="00C86F70" w:rsidRDefault="00C86F70">
      <w:pPr>
        <w:pStyle w:val="normal0"/>
        <w:spacing w:before="120" w:after="120" w:line="240" w:lineRule="auto"/>
        <w:jc w:val="center"/>
      </w:pPr>
    </w:p>
    <w:p w:rsidR="00C86F70" w:rsidRDefault="007A362E">
      <w:pPr>
        <w:pStyle w:val="normal0"/>
        <w:spacing w:before="120" w:after="120" w:line="240" w:lineRule="auto"/>
        <w:jc w:val="center"/>
      </w:pPr>
      <w:r>
        <w:t>________________________________</w:t>
      </w:r>
      <w:r>
        <w:br/>
        <w:t xml:space="preserve">Testemunha </w:t>
      </w:r>
      <w:proofErr w:type="gramStart"/>
      <w:r>
        <w:t>1</w:t>
      </w:r>
      <w:proofErr w:type="gramEnd"/>
    </w:p>
    <w:p w:rsidR="00C86F70" w:rsidRDefault="007A362E">
      <w:pPr>
        <w:pStyle w:val="normal0"/>
        <w:spacing w:before="120" w:after="120" w:line="240" w:lineRule="auto"/>
        <w:jc w:val="center"/>
      </w:pPr>
      <w:r>
        <w:lastRenderedPageBreak/>
        <w:t>________________________________</w:t>
      </w:r>
      <w:r>
        <w:br/>
        <w:t>Repres</w:t>
      </w:r>
      <w:r>
        <w:t>entante legal da CONTRATADA</w:t>
      </w:r>
    </w:p>
    <w:p w:rsidR="00C86F70" w:rsidRDefault="00C86F70">
      <w:pPr>
        <w:pStyle w:val="normal0"/>
        <w:spacing w:before="120" w:after="120" w:line="240" w:lineRule="auto"/>
        <w:jc w:val="center"/>
      </w:pPr>
    </w:p>
    <w:p w:rsidR="00C86F70" w:rsidRDefault="00C86F70">
      <w:pPr>
        <w:pStyle w:val="normal0"/>
        <w:spacing w:before="120" w:after="120" w:line="240" w:lineRule="auto"/>
        <w:jc w:val="center"/>
      </w:pPr>
    </w:p>
    <w:p w:rsidR="00C86F70" w:rsidRDefault="007A362E">
      <w:pPr>
        <w:pStyle w:val="normal0"/>
        <w:spacing w:before="120" w:after="120" w:line="240" w:lineRule="auto"/>
        <w:jc w:val="center"/>
        <w:sectPr w:rsidR="00C86F70">
          <w:type w:val="continuous"/>
          <w:pgSz w:w="11906" w:h="16838"/>
          <w:pgMar w:top="1417" w:right="1701" w:bottom="1417" w:left="1842" w:header="708" w:footer="708" w:gutter="0"/>
          <w:cols w:num="2" w:space="720" w:equalWidth="0">
            <w:col w:w="3826" w:space="708"/>
            <w:col w:w="3826" w:space="0"/>
          </w:cols>
        </w:sectPr>
      </w:pPr>
      <w:r>
        <w:t>________________________________</w:t>
      </w:r>
      <w:r>
        <w:br/>
        <w:t>Testemunha</w:t>
      </w:r>
      <w:proofErr w:type="gramStart"/>
      <w:r>
        <w:t xml:space="preserve">  </w:t>
      </w:r>
      <w:proofErr w:type="gramEnd"/>
      <w:r>
        <w:t>2</w:t>
      </w:r>
    </w:p>
    <w:p w:rsidR="00C86F70" w:rsidRDefault="00C86F70">
      <w:pPr>
        <w:pStyle w:val="normal0"/>
      </w:pPr>
    </w:p>
    <w:p w:rsidR="00C86F70" w:rsidRDefault="007A362E">
      <w:pPr>
        <w:pStyle w:val="normal0"/>
      </w:pPr>
      <w:r>
        <w:br w:type="page"/>
      </w:r>
    </w:p>
    <w:p w:rsidR="00C86F70" w:rsidRDefault="00C86F70">
      <w:pPr>
        <w:pStyle w:val="normal0"/>
        <w:spacing w:before="120" w:after="120" w:line="240" w:lineRule="auto"/>
        <w:jc w:val="center"/>
        <w:rPr>
          <w:b/>
        </w:rPr>
      </w:pPr>
    </w:p>
    <w:p w:rsidR="00C86F70" w:rsidRDefault="00C86F70" w:rsidP="00087E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</w:pPr>
    </w:p>
    <w:sectPr w:rsidR="00C86F70" w:rsidSect="00C86F70">
      <w:type w:val="continuous"/>
      <w:pgSz w:w="11906" w:h="16838"/>
      <w:pgMar w:top="1417" w:right="1701" w:bottom="1417" w:left="1842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70" w:rsidRDefault="00C86F70" w:rsidP="00C86F70">
      <w:pPr>
        <w:spacing w:after="0" w:line="240" w:lineRule="auto"/>
      </w:pPr>
      <w:r>
        <w:separator/>
      </w:r>
    </w:p>
  </w:endnote>
  <w:endnote w:type="continuationSeparator" w:id="0">
    <w:p w:rsidR="00C86F70" w:rsidRDefault="00C86F70" w:rsidP="00C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0" w:rsidRDefault="007A362E">
    <w:pPr>
      <w:pStyle w:val="normal0"/>
      <w:spacing w:after="0" w:line="240" w:lineRule="auto"/>
      <w:jc w:val="center"/>
    </w:pPr>
    <w:r>
      <w:t>____________________________________________________________________________</w:t>
    </w:r>
  </w:p>
  <w:p w:rsidR="00C86F70" w:rsidRDefault="007A362E">
    <w:pPr>
      <w:pStyle w:val="normal0"/>
      <w:spacing w:after="0" w:line="240" w:lineRule="auto"/>
      <w:jc w:val="center"/>
    </w:pPr>
    <w:r>
      <w:rPr>
        <w:sz w:val="16"/>
        <w:szCs w:val="16"/>
      </w:rPr>
      <w:t xml:space="preserve">Universidade Federal de Alagoas – Campus A. C. Simões – Av. Lourival Melo Mota, s/n, Cidade Universitária - Maceió - AL, </w:t>
    </w:r>
    <w:proofErr w:type="gramStart"/>
    <w:r>
      <w:rPr>
        <w:sz w:val="16"/>
        <w:szCs w:val="16"/>
      </w:rPr>
      <w:t>CEP:</w:t>
    </w:r>
    <w:proofErr w:type="gramEnd"/>
    <w:r>
      <w:rPr>
        <w:sz w:val="16"/>
        <w:szCs w:val="16"/>
      </w:rPr>
      <w:t xml:space="preserve">57072-900 - fone: (82) 3214-1100   -   </w:t>
    </w:r>
    <w:hyperlink r:id="rId1">
      <w:r>
        <w:rPr>
          <w:sz w:val="16"/>
          <w:szCs w:val="16"/>
        </w:rPr>
        <w:t>http://www.ufal.br</w:t>
      </w:r>
    </w:hyperlink>
  </w:p>
  <w:p w:rsidR="00C86F70" w:rsidRDefault="00C86F70">
    <w:pPr>
      <w:pStyle w:val="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0" w:rsidRDefault="007A362E">
    <w:pPr>
      <w:pStyle w:val="normal0"/>
      <w:spacing w:after="0" w:line="240" w:lineRule="auto"/>
      <w:jc w:val="center"/>
    </w:pPr>
    <w:r>
      <w:t>____________________________________________________________________________</w:t>
    </w:r>
  </w:p>
  <w:p w:rsidR="00C86F70" w:rsidRDefault="007A362E">
    <w:pPr>
      <w:pStyle w:val="normal0"/>
      <w:spacing w:after="0" w:line="240" w:lineRule="auto"/>
      <w:jc w:val="center"/>
    </w:pPr>
    <w:r>
      <w:rPr>
        <w:sz w:val="16"/>
        <w:szCs w:val="16"/>
      </w:rPr>
      <w:t xml:space="preserve">Universidade Federal de Alagoas – Campus A. C. Simões – Av. Lourival Melo Mota, s/n, Cidade Universitária - Maceió - AL, </w:t>
    </w:r>
    <w:proofErr w:type="gramStart"/>
    <w:r>
      <w:rPr>
        <w:sz w:val="16"/>
        <w:szCs w:val="16"/>
      </w:rPr>
      <w:t>CEP:</w:t>
    </w:r>
    <w:proofErr w:type="gramEnd"/>
    <w:r>
      <w:rPr>
        <w:sz w:val="16"/>
        <w:szCs w:val="16"/>
      </w:rPr>
      <w:t>57072-900 - f</w:t>
    </w:r>
    <w:r>
      <w:rPr>
        <w:sz w:val="16"/>
        <w:szCs w:val="16"/>
      </w:rPr>
      <w:t xml:space="preserve">one: (82) 3214-1100   -   </w:t>
    </w:r>
    <w:hyperlink r:id="rId1">
      <w:r>
        <w:rPr>
          <w:sz w:val="16"/>
          <w:szCs w:val="16"/>
        </w:rPr>
        <w:t>http://www.ufal.br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70" w:rsidRDefault="00C86F70" w:rsidP="00C86F70">
      <w:pPr>
        <w:spacing w:after="0" w:line="240" w:lineRule="auto"/>
      </w:pPr>
      <w:r>
        <w:separator/>
      </w:r>
    </w:p>
  </w:footnote>
  <w:footnote w:type="continuationSeparator" w:id="0">
    <w:p w:rsidR="00C86F70" w:rsidRDefault="00C86F70" w:rsidP="00C8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0" w:rsidRDefault="00C86F70">
    <w:pPr>
      <w:pStyle w:val="normal0"/>
      <w:spacing w:after="0" w:line="276" w:lineRule="auto"/>
      <w:jc w:val="center"/>
      <w:rPr>
        <w:rFonts w:ascii="Arial" w:eastAsia="Arial" w:hAnsi="Arial" w:cs="Arial"/>
      </w:rPr>
    </w:pPr>
  </w:p>
  <w:p w:rsidR="00C86F70" w:rsidRDefault="00C86F70">
    <w:pPr>
      <w:pStyle w:val="normal0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F0F"/>
    <w:multiLevelType w:val="multilevel"/>
    <w:tmpl w:val="C512FBDA"/>
    <w:lvl w:ilvl="0">
      <w:start w:val="8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930" w:hanging="57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76F654C"/>
    <w:multiLevelType w:val="multilevel"/>
    <w:tmpl w:val="E6BE9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9976B9"/>
    <w:multiLevelType w:val="multilevel"/>
    <w:tmpl w:val="D494E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941FDC"/>
    <w:multiLevelType w:val="multilevel"/>
    <w:tmpl w:val="FA5C3B56"/>
    <w:lvl w:ilvl="0">
      <w:start w:val="26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930" w:hanging="57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7B15F69"/>
    <w:multiLevelType w:val="multilevel"/>
    <w:tmpl w:val="EF5E6E42"/>
    <w:lvl w:ilvl="0">
      <w:start w:val="14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930" w:hanging="57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E767168"/>
    <w:multiLevelType w:val="multilevel"/>
    <w:tmpl w:val="0E76015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45FA460D"/>
    <w:multiLevelType w:val="multilevel"/>
    <w:tmpl w:val="38D82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B1170F"/>
    <w:multiLevelType w:val="multilevel"/>
    <w:tmpl w:val="7E483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4DB22A1"/>
    <w:multiLevelType w:val="multilevel"/>
    <w:tmpl w:val="4D646C5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1.%2."/>
      <w:lvlJc w:val="left"/>
      <w:pPr>
        <w:ind w:left="357" w:hanging="360"/>
      </w:pPr>
    </w:lvl>
    <w:lvl w:ilvl="2">
      <w:start w:val="1"/>
      <w:numFmt w:val="decimal"/>
      <w:lvlText w:val="%1.%2.%3."/>
      <w:lvlJc w:val="left"/>
      <w:pPr>
        <w:ind w:left="717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7" w:hanging="1080"/>
      </w:pPr>
    </w:lvl>
    <w:lvl w:ilvl="5">
      <w:start w:val="1"/>
      <w:numFmt w:val="decimal"/>
      <w:lvlText w:val="%1.%2.%3.%4.%5.%6."/>
      <w:lvlJc w:val="left"/>
      <w:pPr>
        <w:ind w:left="1077" w:hanging="1080"/>
      </w:pPr>
    </w:lvl>
    <w:lvl w:ilvl="6">
      <w:start w:val="1"/>
      <w:numFmt w:val="decimal"/>
      <w:lvlText w:val="%1.%2.%3.%4.%5.%6.%7."/>
      <w:lvlJc w:val="left"/>
      <w:pPr>
        <w:ind w:left="1437" w:hanging="1440"/>
      </w:pPr>
    </w:lvl>
    <w:lvl w:ilvl="7">
      <w:start w:val="1"/>
      <w:numFmt w:val="decimal"/>
      <w:lvlText w:val="%1.%2.%3.%4.%5.%6.%7.%8."/>
      <w:lvlJc w:val="left"/>
      <w:pPr>
        <w:ind w:left="1437" w:hanging="1440"/>
      </w:pPr>
    </w:lvl>
    <w:lvl w:ilvl="8">
      <w:start w:val="1"/>
      <w:numFmt w:val="decimal"/>
      <w:lvlText w:val="%1.%2.%3.%4.%5.%6.%7.%8.%9."/>
      <w:lvlJc w:val="left"/>
      <w:pPr>
        <w:ind w:left="1797" w:hanging="1800"/>
      </w:pPr>
    </w:lvl>
  </w:abstractNum>
  <w:abstractNum w:abstractNumId="9">
    <w:nsid w:val="58FB585E"/>
    <w:multiLevelType w:val="multilevel"/>
    <w:tmpl w:val="ACEEAF0E"/>
    <w:lvl w:ilvl="0">
      <w:start w:val="20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930" w:hanging="57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75E821E7"/>
    <w:multiLevelType w:val="multilevel"/>
    <w:tmpl w:val="9302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683D09"/>
    <w:multiLevelType w:val="multilevel"/>
    <w:tmpl w:val="77243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70"/>
    <w:rsid w:val="00087E04"/>
    <w:rsid w:val="007A362E"/>
    <w:rsid w:val="00C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86F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6F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6F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6F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6F7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86F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6F70"/>
  </w:style>
  <w:style w:type="table" w:customStyle="1" w:styleId="TableNormal">
    <w:name w:val="Table Normal"/>
    <w:rsid w:val="00C86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6F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86F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86F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86F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C86F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86F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E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8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7E04"/>
  </w:style>
  <w:style w:type="paragraph" w:styleId="Rodap">
    <w:name w:val="footer"/>
    <w:basedOn w:val="Normal"/>
    <w:link w:val="RodapChar"/>
    <w:uiPriority w:val="99"/>
    <w:semiHidden/>
    <w:unhideWhenUsed/>
    <w:rsid w:val="0008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7E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05416732466</dc:creator>
  <cp:lastModifiedBy>05416732466</cp:lastModifiedBy>
  <cp:revision>2</cp:revision>
  <dcterms:created xsi:type="dcterms:W3CDTF">2019-05-24T13:45:00Z</dcterms:created>
  <dcterms:modified xsi:type="dcterms:W3CDTF">2019-05-24T13:45:00Z</dcterms:modified>
</cp:coreProperties>
</file>