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/>
          <w:b/>
          <w:bCs/>
          <w:color w:val="000000"/>
          <w:sz w:val="20"/>
          <w:szCs w:val="20"/>
        </w:rPr>
        <w:t>ANEXO I</w:t>
      </w:r>
    </w:p>
    <w:p>
      <w:pPr>
        <w:pStyle w:val="Normal"/>
        <w:jc w:val="center"/>
        <w:rPr>
          <w:rFonts w:cs="Arial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TERMO DE REFERÊNCIA</w:t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Sistema de Registro de Preços</w:t>
      </w:r>
    </w:p>
    <w:p>
      <w:pPr>
        <w:pStyle w:val="Normal"/>
        <w:jc w:val="center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PREGÃO ELETRÔNICO </w:t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UNIVERSIDADE FEDERAL DE ALAGOAS </w:t>
      </w:r>
    </w:p>
    <w:p>
      <w:pPr>
        <w:pStyle w:val="Normal"/>
        <w:jc w:val="center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PREGÃO </w:t>
      </w:r>
      <w:r>
        <w:rPr>
          <w:rFonts w:cs="Arial"/>
          <w:b/>
          <w:bCs/>
          <w:sz w:val="20"/>
          <w:szCs w:val="20"/>
        </w:rPr>
        <w:t xml:space="preserve">SRP </w:t>
      </w:r>
      <w:r>
        <w:rPr>
          <w:rFonts w:cs="Arial"/>
          <w:b/>
          <w:bCs/>
          <w:color w:val="000000"/>
          <w:sz w:val="20"/>
          <w:szCs w:val="20"/>
        </w:rPr>
        <w:t>Nº 07/2018</w:t>
      </w:r>
    </w:p>
    <w:p>
      <w:pPr>
        <w:pStyle w:val="Normal"/>
        <w:jc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(Processo Administrativo n.° 23065.016287/2018-78)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360" w:right="-15" w:hanging="36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DO OBJETO</w:t>
      </w:r>
    </w:p>
    <w:p>
      <w:pPr>
        <w:pStyle w:val="Normal"/>
        <w:spacing w:lineRule="auto" w:line="276" w:before="0" w:after="120"/>
        <w:ind w:left="360" w:right="-1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sz w:val="20"/>
          <w:szCs w:val="20"/>
        </w:rPr>
        <w:t>Aquisição de cartuchos de impressoras</w:t>
      </w:r>
      <w:r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conforme condições, quantidades, exigências e estimativas, estabelecidas neste instrumento:</w:t>
      </w:r>
    </w:p>
    <w:tbl>
      <w:tblPr>
        <w:tblW w:w="9560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488"/>
        <w:gridCol w:w="5103"/>
        <w:gridCol w:w="851"/>
        <w:gridCol w:w="850"/>
        <w:gridCol w:w="1134"/>
        <w:gridCol w:w="1133"/>
      </w:tblGrid>
      <w:tr>
        <w:trPr>
          <w:trHeight w:val="1002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CÓDIGO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CATMAT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i/>
                <w:i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VALOR MÁXIMO ACEITÁVEL</w:t>
            </w:r>
          </w:p>
        </w:tc>
      </w:tr>
      <w:tr>
        <w:trPr>
          <w:trHeight w:val="387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CE505X; PARA IMPRESSORA HP LASERJET P2055; GARANTIA  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388617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R$ 163,36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CC530A; PARA IMPRESSORA HP LASERJET CM2320; GARANTIA 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369349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R$ 241,83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CB540A; PARA IMPRESSORA LASERJET CM1312NFI / CM1312 / CP1515N / CP1215; GARANTIA 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362123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R$ 180,42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CB435A; PARA IMPRESSORA HP LASERJET P1005; GARANTIA 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379124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R$ 182,58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CB436A; PARA IMPRESSORA HP LASERJET 1020; GARANTIA 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367214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R$ 239,89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CE285A; PARA IMPRESSORA HP LASERJET P1102W; GARANTIA 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392016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R$ 240,11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305A / CE410A;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R$ 226,53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AMARELA; HP 305A / CE412A;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R$ 203,34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TINTA CIANO; HP 305A / CE411A;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R$ 220,09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MAGENTA; HP 305A / CE413A;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R$ 189,49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Q2612A; PARA IMPRESSORAS HP LASERJET 1005N/ 1010/ 1020; GARANTIA 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264651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R$ 157,93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HP Q5949A; PARA IMPRESSORA LASERJET 1160/ 1320; GARANTIA 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331921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R$ 174,50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COR PRETA; SAMSUNG MLT-D101S; PARA IMPRESSORA SAMSUNG SCX-6555NX; GARANTIA MÍNIMA DE 3 MESES A PARTIR 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408600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R$ 195,88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DE TONER NOVO; HP 126A ; CE310A (COR PRETA);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R$ 160,30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HP 126A ; CE312A (COR AMARELA);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R$ 159,96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HP 126A ; CE311A (COR CIANO) 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R$ 178,61</w:t>
            </w:r>
          </w:p>
        </w:tc>
      </w:tr>
      <w:tr>
        <w:trPr>
          <w:trHeight w:val="339" w:hRule="atLeast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CARTUCHO TONER NOVO; HP 126A ; CE313A (COR MAGENTA); GARANTIA MÍNIMA DE 3 MESES A PARTIR DA DATA DE ENTREGA.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R$ 268,00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JUSTIFICATIVA E OBJETIVO DA CONTRATAÇÃO</w:t>
      </w:r>
    </w:p>
    <w:p>
      <w:pPr>
        <w:pStyle w:val="ListParagraph"/>
        <w:numPr>
          <w:ilvl w:val="1"/>
          <w:numId w:val="1"/>
        </w:numPr>
        <w:spacing w:lineRule="auto" w:line="360"/>
        <w:ind w:left="426" w:hanging="0"/>
        <w:jc w:val="both"/>
        <w:rPr>
          <w:sz w:val="20"/>
          <w:szCs w:val="20"/>
        </w:rPr>
      </w:pPr>
      <w:r>
        <w:rPr>
          <w:sz w:val="20"/>
          <w:szCs w:val="20"/>
        </w:rPr>
        <w:t>O material solicitado será destinado a suprir o estoque da Gerência de Almoxarifado e Patrimônio, responsável pela gestão os itens de escritório de utilização pelas diversas unidades administrativas e acadêmicas da Universidade. O material é necessário devido a sua importância no desenvolvimento das atividades da UFAL, sendo que uma eventual não aquisição causaria sérios transtornos às atividades de muitos setores, visto que são insumos essenciais aos seus funcionamentos.</w:t>
      </w:r>
    </w:p>
    <w:p>
      <w:pPr>
        <w:pStyle w:val="ListParagraph"/>
        <w:numPr>
          <w:ilvl w:val="1"/>
          <w:numId w:val="1"/>
        </w:numPr>
        <w:spacing w:lineRule="auto" w:line="360"/>
        <w:ind w:left="426" w:hanging="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especificações técnicas e quantitativas dos materiais a serem adquiridos, estão de acordo com o previsto no artigo 15, § 7º, da Lei 8.666/93, demonstrados explicitamente na requisição elaborada, bem como no Termo de Referência.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</w:rPr>
      </w:pPr>
      <w:r>
        <w:rPr>
          <w:bCs/>
          <w:sz w:val="20"/>
          <w:szCs w:val="20"/>
        </w:rPr>
        <w:t>Em atenção ao artigo 3º, do Decreto 7.892/2013, informamos que os quantitativos estabelecidos são adequados às necessidades dos requisitantes e obtidos de forma proporcional à demanda de recarga de cartuchos solicitada pelas unidades administrativas e acadêmicas.</w:t>
      </w:r>
      <w:r>
        <w:rPr>
          <w:rFonts w:cs="Arial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76" w:before="120" w:after="12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CLASSIFICAÇÃO DOS BENS COMUNS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 bens a serem adquiridos enquadram-se na classificação de bens comuns, nos termos da Lei n° 10.520, de 2002, do Decreto n° 3.555, de 2000, e do Decreto 5.450, de 2005</w:t>
      </w:r>
      <w:r>
        <w:rPr>
          <w:rFonts w:cs="Arial"/>
          <w:color w:val="000000"/>
          <w:sz w:val="20"/>
          <w:szCs w:val="20"/>
        </w:rPr>
        <w:t>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ENTREGA E CRITÉRIOS DE ACEITAÇÃO DO OBJETO.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6" w:hanging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O prazo de entrega dos bens é de 30 (trinta) dias, contados a partir do recebimento da nota de empenho, e</w:t>
      </w:r>
      <w:r>
        <w:rPr>
          <w:rFonts w:cs="Arial"/>
          <w:color w:val="000000"/>
          <w:sz w:val="20"/>
          <w:szCs w:val="20"/>
        </w:rPr>
        <w:t>m remessa parcelada,</w:t>
      </w:r>
      <w:r>
        <w:rPr>
          <w:rFonts w:cs="Arial"/>
          <w:iCs/>
          <w:color w:val="000000"/>
          <w:sz w:val="20"/>
          <w:szCs w:val="20"/>
        </w:rPr>
        <w:t xml:space="preserve"> no Almoxarifado Central da Universidade Federal de Alagoas – Campus A. C. Simões, Avenida Lourival de Melo Mota, S/N, Tabuleiro do Martins, Maceió-AL, CEP 57072-970, telefone (82) 3214-1024, de segunda a sexta feira, no horário das 9:00 às 12:00 e das 14:00 às 16:00 horas, conforme estimativa:</w:t>
      </w:r>
    </w:p>
    <w:p>
      <w:pPr>
        <w:pStyle w:val="Normal"/>
        <w:spacing w:lineRule="auto" w:line="276" w:before="120" w:after="120"/>
        <w:ind w:left="1985" w:hanging="567"/>
        <w:jc w:val="both"/>
        <w:rPr/>
      </w:pPr>
      <w:r>
        <w:rPr>
          <w:rFonts w:cs="Arial"/>
          <w:iCs/>
          <w:color w:val="000000"/>
          <w:sz w:val="20"/>
          <w:szCs w:val="20"/>
        </w:rPr>
        <w:t xml:space="preserve">4.1.1. </w:t>
        <w:tab/>
        <w:tab/>
        <w:t xml:space="preserve">     25% no primeiro trimestre;</w:t>
      </w:r>
    </w:p>
    <w:p>
      <w:pPr>
        <w:pStyle w:val="Normal"/>
        <w:spacing w:lineRule="auto" w:line="276" w:before="120" w:after="120"/>
        <w:ind w:left="1418" w:hanging="0"/>
        <w:jc w:val="both"/>
        <w:rPr/>
      </w:pPr>
      <w:r>
        <w:rPr>
          <w:rFonts w:cs="Arial"/>
          <w:iCs/>
          <w:color w:val="000000"/>
          <w:sz w:val="20"/>
          <w:szCs w:val="20"/>
        </w:rPr>
        <w:t xml:space="preserve">4.1.2. </w:t>
        <w:tab/>
        <w:t xml:space="preserve">     25% no segundo trimestre;</w:t>
      </w:r>
    </w:p>
    <w:p>
      <w:pPr>
        <w:pStyle w:val="Normal"/>
        <w:spacing w:lineRule="auto" w:line="276" w:before="120" w:after="120"/>
        <w:ind w:left="1418" w:hanging="0"/>
        <w:jc w:val="both"/>
        <w:rPr/>
      </w:pPr>
      <w:r>
        <w:rPr>
          <w:rFonts w:cs="Arial"/>
          <w:iCs/>
          <w:color w:val="000000"/>
          <w:sz w:val="20"/>
          <w:szCs w:val="20"/>
        </w:rPr>
        <w:t>4.1.3.         25% no terceiro trimestre;</w:t>
      </w:r>
    </w:p>
    <w:p>
      <w:pPr>
        <w:pStyle w:val="Normal"/>
        <w:spacing w:lineRule="auto" w:line="276" w:before="120" w:after="120"/>
        <w:ind w:left="2268" w:hanging="850"/>
        <w:jc w:val="both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4.1.4.         25% no quarto trimestre;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Os bens serão recebidos provisoriamente no prazo de 15 (quinze) dias, pelo(a) responsável pelo acompanhamento e fiscalização do contrato, para efeito de posterior verificação de sua conformidade com as especificações constantes neste Termo de Referência e na proposta.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Os bens poderão ser rejeitados, no todo ou em parte, quando em desacordo com as especificações constantes neste Termo de Referência e na proposta, devendo ser substituídos no prazo de 15 (quinze) dias, a contar da notificação da contratada, às suas custas, sem prejuízo da aplicação das penalidades.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Os bens serão recebidos definitivamente no prazo de 15 (quinze) dias, contados do recebimento provisório, após a verificação da qualidade e quantidade do material e consequente aceitação mediante termo circunstanciado.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>
      <w:pPr>
        <w:pStyle w:val="Normal"/>
        <w:spacing w:lineRule="auto" w:line="276" w:before="0" w:after="120"/>
        <w:ind w:left="567" w:right="-15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São obrigações da Contratante: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receber o objeto no prazo e condições estabelecidas no Edital e seus anexos;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  <w:lang w:eastAsia="en-US"/>
        </w:rPr>
        <w:t>verificar minuciosamente, no prazo fixado, a conformidade dos bens recebidos provisoriamente com as especificações constantes do Edital e da proposta, para fins de aceitação e recebimento definitivo;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comunicar à Contratada, por escrito, sobre imperfeições, falhas ou irregularidades verificadas no objeto fornecido, para que seja substituído, reparado ou corrigido;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  <w:lang w:eastAsia="en-US"/>
        </w:rPr>
        <w:t>acompanhar e fiscalizar o cumprimento das obrigações da Contratada, através de comissão/servidor especialmente designado;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efetuar o pagamento à Contratada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 valor correspondente ao fornecimento do objeto, no prazo e forma estabelecidos no Edital e seus anexos;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 Administração realizará pesquisa de preços periodicamente, em prazo não superior a 180 (cento e oitenta) dias, a fim de verificar a vantajosidade dos preços registrados em Ata.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276" w:before="0" w:after="120"/>
        <w:ind w:left="360" w:right="-1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360" w:right="-15" w:hanging="36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OBRIGAÇÕES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e prazo de validade;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substituir, reparar ou corrigir, às suas expensas, no prazo fixado neste Termo de Referência, o objeto com avarias ou defeitos;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comunicar à Contratante, no prazo máximo de 24 (vinte e quatro) horas que antecede a data da entrega, os motivos que impossibilitem o cumprimento do prazo previsto, com a devida comprovação;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indicar preposto para representá-la durante a execução do contrato.</w:t>
      </w:r>
    </w:p>
    <w:p>
      <w:pPr>
        <w:pStyle w:val="Normal"/>
        <w:spacing w:lineRule="auto" w:line="276" w:before="0" w:after="120"/>
        <w:ind w:left="360" w:right="-15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DA SUBCONTRATAÇÃO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6" w:hanging="8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Não será admitida a subcontratação do objeto licitatório.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360" w:right="-15" w:hanging="360"/>
        <w:jc w:val="both"/>
        <w:rPr>
          <w:rFonts w:cs="Arial"/>
          <w:b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>ALTERAÇÃO SUBJETIVA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360" w:right="-15" w:hanging="360"/>
        <w:jc w:val="both"/>
        <w:rPr>
          <w:rFonts w:cs="Arial"/>
          <w:b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>CONTROLE DA EXECUÇÃO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>
        <w:rPr>
          <w:rFonts w:cs="Arial"/>
          <w:color w:val="000000"/>
          <w:sz w:val="20"/>
          <w:szCs w:val="20"/>
        </w:rPr>
        <w:t>responsabilidade</w:t>
      </w:r>
      <w:r>
        <w:rPr>
          <w:rFonts w:cs="Arial"/>
          <w:color w:val="000000"/>
          <w:sz w:val="20"/>
          <w:szCs w:val="20"/>
          <w:lang w:eastAsia="en-US"/>
        </w:rPr>
        <w:t xml:space="preserve"> da Contratada, inclusive perante terceiros, por qualquer irregularidade, ainda que resultante de imperfeições técnicas ou vícios redibitórios, e, na ocorrência desta, não implica em co-responsabilidade da Administração ou de seus agentes e prepostos, de conformidade com o art. 70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US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>
      <w:pPr>
        <w:pStyle w:val="Normal"/>
        <w:spacing w:lineRule="auto" w:line="276" w:before="0" w:after="120"/>
        <w:ind w:left="540" w:right="-17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360" w:right="-15" w:hanging="36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DAS SANÇÕES ADMINISTRATIVAS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6" w:hanging="8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Comete infração administrativa nos termos da Lei nº 8.666, de 1993 e da Lei nº 10.520, de 2002, a Contratada que: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inexecutar total ou parcialmente qualquer das obrigações assumidas em decorrência da contratação;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ensejar o retardamento da execução do objeto;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fraudar na execução do contrato;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comportar-se de modo inidôneo;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cometer fraude fiscal;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não mantiver a proposta.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Contratada que cometer qualquer das infrações discriminadas no subitem acima ficará sujeita, sem prejuízo da responsabilidade civil e criminal, às seguintes sanções: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Advertência por: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sz w:val="20"/>
          <w:szCs w:val="20"/>
        </w:rPr>
        <w:t>atraso de até 5 (cinco) dias no fornecimento do(s) item(ns), ou na sua substituição quando o fornecimento ocorrer fora das</w:t>
      </w:r>
      <w:r>
        <w:rPr>
          <w:rFonts w:cs="Arial"/>
          <w:iCs/>
          <w:sz w:val="20"/>
          <w:szCs w:val="20"/>
        </w:rPr>
        <w:t xml:space="preserve"> especificações e/ou condições predeterminadas ou por defeito superveniente imputável ao contratado, contado a partir do primeiro dia útil subsequente ao término do prazo previsto para entrega do objeto;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Multa: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multa moratória diária de 0,25% (zero vírgula vinte e cinco por cento) a partir do sexto dia de atraso, sobre o valor total do(s) item(ns) contratado(s), até o limite de180 (cento e oitenta) dias;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multa compensatória de 10% (dez por cento) em caso de inexecução parcial, a partir do 181º dia de atraso, ou na sua substituição, total ou parcial, quando o fornecimento ocorrer fora das especificações e/ou condições predeterminadas ou por defeito superveniente imputável ao contratado, ensejando, se couber, a anulação do empenho, a rescisão do contrato e o cancelamento da ata de registro de preços;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multa compensatória de 20% (vinte por cento) sobre o valor total do contrato, no caso de inexecução total do objeto;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as multas serão recolhidas no prazo de 5 dias úteis após a notificação, por meio de GRU. Não surtindo resultado, poderá ser convertida em impedimento de licitar e contratar com a União, Estados, Distrito Federal ou Municípios pelo prazo de até 5 (cinco) anos, conforme preceitua o art. 7º da Lei nº 10.520/2002, a ser apurado e decidido em processo administrativo;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Suspensão de licitar com o órgão, entidade ou unidade administrativa pela qual a Administração Pública opera e atua concretamente, pelo prazo de até 2 (dois) anos, no caso de inexecução parcial do contrato, a ser apurado e decidido em processo administrativo;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Poderá ser aplicada suspensão temporária do direito de participar em licitação ou impedimento de contratar com a entidade licitante e descredenciamento no SICAF, por prazo não superior a 2 (dois) anos, diante de caso de reiteração de mesmo comportamento já punido ou omissão de providências para reparação de erros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Impedimento de licitar e contratar com a União com o consequente descredenciamento no SICAF, sem prejuízo da multa e das cominações legais, nos casos de: 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ensejar retardamento da execução de seu objeto: entre 2 (dois) anos e 2 (dois) anos e 6 (seis) meses;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não mantiver a proposta, falhar ou fraudar na execução do contrato: entre 2 (dois) anos e 6 (seis) meses e 4 (quatro) anos;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não executar os serviços ou entrega de material objeto da licitação: 5 (cinco) anos;</w:t>
      </w:r>
    </w:p>
    <w:p>
      <w:pPr>
        <w:pStyle w:val="Normal"/>
        <w:numPr>
          <w:ilvl w:val="3"/>
          <w:numId w:val="1"/>
        </w:numPr>
        <w:spacing w:lineRule="auto" w:line="276" w:before="120" w:after="120"/>
        <w:ind w:left="1418" w:hanging="283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comportar-se de modo inidôneo ou cometer fraude fiscal: até 5 (cinco) anos;</w:t>
      </w:r>
    </w:p>
    <w:p>
      <w:pPr>
        <w:pStyle w:val="Normal"/>
        <w:numPr>
          <w:ilvl w:val="4"/>
          <w:numId w:val="1"/>
        </w:numPr>
        <w:spacing w:lineRule="auto" w:line="276" w:before="120" w:after="12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O licitante ficará sujeito, sem prejuízo da responsabilidade civil (indenização por danos morais) e criminal (detenção de 6 meses a 2 anos e multa art. 138 do Código Penal), à sanção de impedimento de licitar, pelo prazo de até 05 anos, se ocasionar eventos que denigram ou caluniem equipe técnica e pregoeiro, bem como pessoas que as integram, inclusive em razão de denúncias sob a acusação de direcionamento de certame, sem a apresentação de provas pertinentes, ou a apresentação de provas infundadas, na sessão do certame (via chat, email, telefone ou outros meios) e/ou em processo administrativo instaurado.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Casos fortuitos, omissos ou de força maior serão avaliados e decididos pela Comissão de Penalidades de acordo com o grau da infração cometida.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Para fins de dosagem da sanção, serão avaliados a gravidade da infração e os antecedentes do fornecedor no âmbito da Administração Pública Federal.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Também ficam sujeitas às penalidades do art. 87, III e IV da Lei nº 8.666, de 1993, as empresas e os profissionais que: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tenham sofrido condenação definitiva por praticar, por meio dolosos, fraude fiscal no recolhimento de quaisquer tributos;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tenham praticado atos ilícitos visando a frustrar os objetivos da licitação;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demonstrem não possuir idoneidade para contratar com a Administração em virtude de atos ilícitos praticados.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sz w:val="20"/>
          <w:szCs w:val="20"/>
        </w:rPr>
        <w:t>As penalidades serão obrigatoriamente registradas no SICAF.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spacing w:before="0" w:after="360"/>
        <w:ind w:left="36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Maceió-AL</w:t>
      </w:r>
      <w:r>
        <w:rPr>
          <w:rFonts w:cs="Arial"/>
          <w:b/>
          <w:bCs/>
          <w:sz w:val="20"/>
          <w:szCs w:val="20"/>
        </w:rPr>
        <w:t xml:space="preserve">, .......... </w:t>
      </w:r>
      <w:r>
        <w:rPr>
          <w:rFonts w:cs="Arial"/>
          <w:bCs/>
          <w:sz w:val="20"/>
          <w:szCs w:val="20"/>
        </w:rPr>
        <w:t>de</w:t>
      </w:r>
      <w:r>
        <w:rPr>
          <w:rFonts w:cs="Arial"/>
          <w:b/>
          <w:bCs/>
          <w:sz w:val="20"/>
          <w:szCs w:val="20"/>
        </w:rPr>
        <w:t xml:space="preserve"> ................</w:t>
      </w:r>
      <w:r>
        <w:rPr>
          <w:rFonts w:cs="Arial"/>
          <w:bCs/>
          <w:sz w:val="20"/>
          <w:szCs w:val="20"/>
        </w:rPr>
        <w:t>de</w:t>
      </w:r>
      <w:r>
        <w:rPr>
          <w:rFonts w:cs="Arial"/>
          <w:b/>
          <w:bCs/>
          <w:sz w:val="20"/>
          <w:szCs w:val="20"/>
        </w:rPr>
        <w:t xml:space="preserve"> ............</w:t>
      </w:r>
      <w:r>
        <w:rPr>
          <w:rFonts w:cs="Arial"/>
          <w:sz w:val="20"/>
          <w:szCs w:val="20"/>
        </w:rPr>
        <w:t xml:space="preserve">. </w:t>
      </w:r>
    </w:p>
    <w:p>
      <w:pPr>
        <w:pStyle w:val="Normal"/>
        <w:spacing w:before="0" w:after="360"/>
        <w:ind w:left="36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="0" w:after="360"/>
        <w:ind w:left="360" w:hanging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</w:t>
      </w:r>
    </w:p>
    <w:p>
      <w:pPr>
        <w:pStyle w:val="Normal"/>
        <w:spacing w:before="0" w:after="360"/>
        <w:ind w:left="360" w:hanging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Responsável pelo Almoxarifado Central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</w:t>
    </w:r>
  </w:p>
  <w:p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Comissão Permanente de Atualização de Editais da Consultoria-Geral da União</w:t>
    </w:r>
  </w:p>
  <w:p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 Modelo para SRP Pregão Eletrônico – Compras</w:t>
    </w:r>
  </w:p>
  <w:p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z w:val="20"/>
        <w:i w:val="false"/>
        <w:b/>
        <w:color w:val="00000A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0"/>
        <w:i w:val="false"/>
        <w:b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mirrorMargin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86d"/>
    <w:pPr>
      <w:widowControl/>
      <w:bidi w:val="0"/>
      <w:jc w:val="left"/>
    </w:pPr>
    <w:rPr>
      <w:rFonts w:ascii="Arial" w:hAnsi="Arial" w:cs="Tahoma" w:eastAsia="Times New Roman"/>
      <w:color w:val="auto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GradeColoridanfase1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4f5db8"/>
    <w:rPr>
      <w:rFonts w:ascii="Ecofont_Spranq_eco_Sans" w:hAnsi="Ecofont_Spranq_eco_Sans" w:eastAsia="Calibri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4a5ac6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5ac6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e5586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semiHidden/>
    <w:unhideWhenUsed/>
    <w:qFormat/>
    <w:rsid w:val="00e5586d"/>
    <w:rPr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e5586d"/>
    <w:rPr>
      <w:rFonts w:ascii="Arial" w:hAnsi="Arial" w:cs="Tahoma"/>
      <w:sz w:val="24"/>
      <w:szCs w:val="24"/>
    </w:rPr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b/>
      <w:i w:val="false"/>
      <w:color w:val="00000A"/>
      <w:sz w:val="20"/>
    </w:rPr>
  </w:style>
  <w:style w:type="character" w:styleId="ListLabel3">
    <w:name w:val="ListLabel 3"/>
    <w:qFormat/>
    <w:rPr>
      <w:b/>
      <w:i w:val="false"/>
      <w:color w:val="00000A"/>
      <w:sz w:val="20"/>
    </w:rPr>
  </w:style>
  <w:style w:type="character" w:styleId="ListLabel4">
    <w:name w:val="ListLabel 4"/>
    <w:qFormat/>
    <w:rPr>
      <w:rFonts w:eastAsia="Arial Unicode MS"/>
    </w:rPr>
  </w:style>
  <w:style w:type="character" w:styleId="ListLabel5">
    <w:name w:val="ListLabel 5"/>
    <w:qFormat/>
    <w:rPr>
      <w:rFonts w:eastAsia="Arial Unicode MS"/>
    </w:rPr>
  </w:style>
  <w:style w:type="character" w:styleId="ListLabel6">
    <w:name w:val="ListLabel 6"/>
    <w:qFormat/>
    <w:rPr>
      <w:rFonts w:eastAsia="Arial Unicode MS"/>
    </w:rPr>
  </w:style>
  <w:style w:type="character" w:styleId="ListLabel7">
    <w:name w:val="ListLabel 7"/>
    <w:qFormat/>
    <w:rPr>
      <w:rFonts w:eastAsia="Arial Unicode MS"/>
    </w:rPr>
  </w:style>
  <w:style w:type="character" w:styleId="ListLabel8">
    <w:name w:val="ListLabel 8"/>
    <w:qFormat/>
    <w:rPr>
      <w:rFonts w:eastAsia="Arial Unicode MS"/>
    </w:rPr>
  </w:style>
  <w:style w:type="character" w:styleId="ListLabel9">
    <w:name w:val="ListLabel 9"/>
    <w:qFormat/>
    <w:rPr>
      <w:rFonts w:eastAsia="Arial Unicode MS"/>
    </w:rPr>
  </w:style>
  <w:style w:type="character" w:styleId="ListLabel10">
    <w:name w:val="ListLabel 10"/>
    <w:qFormat/>
    <w:rPr>
      <w:rFonts w:eastAsia="Arial Unicode MS"/>
    </w:rPr>
  </w:style>
  <w:style w:type="character" w:styleId="ListLabel11">
    <w:name w:val="ListLabel 11"/>
    <w:qFormat/>
    <w:rPr>
      <w:rFonts w:eastAsia="Arial Unicode MS"/>
    </w:rPr>
  </w:style>
  <w:style w:type="character" w:styleId="ListLabel12">
    <w:name w:val="ListLabel 12"/>
    <w:qFormat/>
    <w:rPr>
      <w:rFonts w:eastAsia="Arial Unicode MS"/>
    </w:rPr>
  </w:style>
  <w:style w:type="character" w:styleId="ListLabel13">
    <w:name w:val="ListLabel 13"/>
    <w:qFormat/>
    <w:rPr>
      <w:rFonts w:cs="Arial"/>
      <w:i/>
      <w:color w:val="FF0000"/>
    </w:rPr>
  </w:style>
  <w:style w:type="character" w:styleId="ListLabel14">
    <w:name w:val="ListLabel 14"/>
    <w:qFormat/>
    <w:rPr>
      <w:rFonts w:cs="Arial"/>
      <w:i/>
      <w:color w:val="FF0000"/>
    </w:rPr>
  </w:style>
  <w:style w:type="character" w:styleId="ListLabel15">
    <w:name w:val="ListLabel 15"/>
    <w:qFormat/>
    <w:rPr>
      <w:rFonts w:cs="Arial"/>
      <w:i/>
      <w:color w:val="FF0000"/>
    </w:rPr>
  </w:style>
  <w:style w:type="character" w:styleId="ListLabel16">
    <w:name w:val="ListLabel 16"/>
    <w:qFormat/>
    <w:rPr>
      <w:rFonts w:cs="Arial"/>
      <w:i/>
      <w:color w:val="FF0000"/>
    </w:rPr>
  </w:style>
  <w:style w:type="character" w:styleId="ListLabel17">
    <w:name w:val="ListLabel 17"/>
    <w:qFormat/>
    <w:rPr>
      <w:rFonts w:cs="Arial"/>
      <w:i/>
      <w:color w:val="FF0000"/>
    </w:rPr>
  </w:style>
  <w:style w:type="character" w:styleId="ListLabel18">
    <w:name w:val="ListLabel 18"/>
    <w:qFormat/>
    <w:rPr>
      <w:rFonts w:cs="Arial"/>
      <w:i/>
      <w:color w:val="FF0000"/>
    </w:rPr>
  </w:style>
  <w:style w:type="character" w:styleId="ListLabel19">
    <w:name w:val="ListLabel 19"/>
    <w:qFormat/>
    <w:rPr>
      <w:rFonts w:cs="Arial"/>
      <w:i/>
      <w:color w:val="FF0000"/>
    </w:rPr>
  </w:style>
  <w:style w:type="character" w:styleId="ListLabel20">
    <w:name w:val="ListLabel 20"/>
    <w:qFormat/>
    <w:rPr>
      <w:rFonts w:cs="Arial"/>
      <w:i/>
      <w:color w:val="FF0000"/>
    </w:rPr>
  </w:style>
  <w:style w:type="character" w:styleId="ListLabel21">
    <w:name w:val="ListLabel 21"/>
    <w:qFormat/>
    <w:rPr>
      <w:rFonts w:cs="Arial"/>
      <w:i/>
      <w:color w:val="FF0000"/>
    </w:rPr>
  </w:style>
  <w:style w:type="character" w:styleId="ListLabel22">
    <w:name w:val="ListLabel 22"/>
    <w:qFormat/>
    <w:rPr>
      <w:color w:val="0000FF"/>
    </w:rPr>
  </w:style>
  <w:style w:type="character" w:styleId="ListLabel23">
    <w:name w:val="ListLabel 23"/>
    <w:qFormat/>
    <w:rPr>
      <w:color w:val="0000FF"/>
    </w:rPr>
  </w:style>
  <w:style w:type="character" w:styleId="ListLabel24">
    <w:name w:val="ListLabel 24"/>
    <w:qFormat/>
    <w:rPr>
      <w:color w:val="0000FF"/>
    </w:rPr>
  </w:style>
  <w:style w:type="character" w:styleId="ListLabel25">
    <w:name w:val="ListLabel 25"/>
    <w:qFormat/>
    <w:rPr>
      <w:color w:val="0000FF"/>
    </w:rPr>
  </w:style>
  <w:style w:type="character" w:styleId="ListLabel26">
    <w:name w:val="ListLabel 26"/>
    <w:qFormat/>
    <w:rPr>
      <w:color w:val="0000FF"/>
    </w:rPr>
  </w:style>
  <w:style w:type="character" w:styleId="ListLabel27">
    <w:name w:val="ListLabel 27"/>
    <w:qFormat/>
    <w:rPr>
      <w:color w:val="0000FF"/>
    </w:rPr>
  </w:style>
  <w:style w:type="character" w:styleId="ListLabel28">
    <w:name w:val="ListLabel 28"/>
    <w:qFormat/>
    <w:rPr>
      <w:color w:val="0000FF"/>
    </w:rPr>
  </w:style>
  <w:style w:type="character" w:styleId="ListLabel29">
    <w:name w:val="ListLabel 29"/>
    <w:qFormat/>
    <w:rPr>
      <w:color w:val="0000FF"/>
    </w:rPr>
  </w:style>
  <w:style w:type="character" w:styleId="ListLabel30">
    <w:name w:val="ListLabel 30"/>
    <w:qFormat/>
    <w:rPr>
      <w:color w:val="0000FF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/>
      <w:i w:val="false"/>
    </w:rPr>
  </w:style>
  <w:style w:type="character" w:styleId="ListLabel41">
    <w:name w:val="ListLabel 41"/>
    <w:qFormat/>
    <w:rPr>
      <w:b/>
      <w:i w:val="false"/>
      <w:color w:val="00000A"/>
    </w:rPr>
  </w:style>
  <w:style w:type="character" w:styleId="ListLabel42">
    <w:name w:val="ListLabel 42"/>
    <w:qFormat/>
    <w:rPr>
      <w:b/>
      <w:i w:val="false"/>
    </w:rPr>
  </w:style>
  <w:style w:type="character" w:styleId="ListLabel43">
    <w:name w:val="ListLabel 43"/>
    <w:qFormat/>
    <w:rPr>
      <w:b/>
      <w:i w:val="false"/>
    </w:rPr>
  </w:style>
  <w:style w:type="character" w:styleId="ListLabel44">
    <w:name w:val="ListLabel 44"/>
    <w:qFormat/>
    <w:rPr>
      <w:b/>
      <w:i w:val="false"/>
    </w:rPr>
  </w:style>
  <w:style w:type="character" w:styleId="ListLabel45">
    <w:name w:val="ListLabel 45"/>
    <w:qFormat/>
    <w:rPr>
      <w:b/>
      <w:i w:val="false"/>
    </w:rPr>
  </w:style>
  <w:style w:type="character" w:styleId="ListLabel46">
    <w:name w:val="ListLabel 46"/>
    <w:qFormat/>
    <w:rPr>
      <w:b/>
      <w:i w:val="false"/>
      <w:color w:val="00000A"/>
    </w:rPr>
  </w:style>
  <w:style w:type="character" w:styleId="ListLabel47">
    <w:name w:val="ListLabel 47"/>
    <w:qFormat/>
    <w:rPr>
      <w:b w:val="false"/>
      <w:i w:val="false"/>
    </w:rPr>
  </w:style>
  <w:style w:type="character" w:styleId="ListLabel48">
    <w:name w:val="ListLabel 48"/>
    <w:qFormat/>
    <w:rPr>
      <w:b/>
      <w:i w:val="false"/>
    </w:rPr>
  </w:style>
  <w:style w:type="character" w:styleId="ListLabel49">
    <w:name w:val="ListLabel 49"/>
    <w:qFormat/>
    <w:rPr>
      <w:b/>
      <w:i w:val="false"/>
    </w:rPr>
  </w:style>
  <w:style w:type="character" w:styleId="ListLabel50">
    <w:name w:val="ListLabel 50"/>
    <w:qFormat/>
    <w:rPr>
      <w:b w:val="false"/>
      <w:i w:val="false"/>
      <w:color w:val="00000A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b w:val="false"/>
      <w:i w:val="false"/>
      <w:color w:val="00000A"/>
    </w:rPr>
  </w:style>
  <w:style w:type="character" w:styleId="ListLabel54">
    <w:name w:val="ListLabel 54"/>
    <w:qFormat/>
    <w:rPr>
      <w:b w:val="false"/>
      <w:i w:val="false"/>
      <w:color w:val="00000A"/>
    </w:rPr>
  </w:style>
  <w:style w:type="character" w:styleId="ListLabel55">
    <w:name w:val="ListLabel 55"/>
    <w:qFormat/>
    <w:rPr>
      <w:b w:val="false"/>
      <w:i w:val="false"/>
      <w:color w:val="00000A"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 w:val="false"/>
      <w:i w:val="false"/>
      <w:color w:val="00000A"/>
    </w:rPr>
  </w:style>
  <w:style w:type="character" w:styleId="ListLabel58">
    <w:name w:val="ListLabel 58"/>
    <w:qFormat/>
    <w:rPr>
      <w:b w:val="false"/>
      <w:i w:val="false"/>
      <w:color w:val="00000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aColoridanfase11" w:customStyle="1">
    <w:name w:val="Lista Colorida - Ênfase 11"/>
    <w:basedOn w:val="Normal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GradeColoridanfase11"/>
    <w:link w:val="citao2Char"/>
    <w:qFormat/>
    <w:rsid w:val="000a23da"/>
    <w:pPr>
      <w:shd w:fill="FFFFCC" w:val="clear"/>
    </w:pPr>
    <w:rPr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5586d"/>
    <w:pPr>
      <w:spacing w:before="0" w:after="0"/>
      <w:ind w:left="720" w:hanging="0"/>
      <w:contextualSpacing/>
    </w:pPr>
    <w:rPr/>
  </w:style>
  <w:style w:type="paragraph" w:styleId="Nivel1" w:customStyle="1">
    <w:name w:val="Nivel1"/>
    <w:basedOn w:val="Ttulo1"/>
    <w:next w:val="Normal"/>
    <w:qFormat/>
    <w:rsid w:val="00e5586d"/>
    <w:pPr>
      <w:spacing w:lineRule="auto" w:line="276" w:before="480" w:after="120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e5586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52b1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C09F-DBF9-4E32-AC88-85231C7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2</TotalTime>
  <Application>LibreOffice/5.3.1.2$Windows_X86_64 LibreOffice_project/e80a0e0fd1875e1696614d24c32df0f95f03deb2</Application>
  <Pages>6</Pages>
  <Words>2530</Words>
  <Characters>13872</Characters>
  <CharactersWithSpaces>16165</CharactersWithSpaces>
  <Paragraphs>204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2018-06-14T18:20:00Z</dcterms:created>
  <dc:creator>Adriano</dc:creator>
  <dc:description/>
  <dc:language>pt-BR</dc:language>
  <cp:lastModifiedBy/>
  <cp:lastPrinted>2018-06-14T18:26:00Z</cp:lastPrinted>
  <dcterms:modified xsi:type="dcterms:W3CDTF">2018-07-25T13:05:33Z</dcterms:modified>
  <cp:revision>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EDUARDO DOTTI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