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AF" w:rsidRPr="006A0037" w:rsidRDefault="001E14A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>TERMO DE REFERÊNCIA</w:t>
      </w:r>
    </w:p>
    <w:p w:rsidR="00AC2965" w:rsidRPr="006A0037" w:rsidRDefault="00AC2965" w:rsidP="004F5DB8">
      <w:pPr>
        <w:jc w:val="center"/>
        <w:rPr>
          <w:rFonts w:cs="Arial"/>
          <w:b/>
          <w:bCs/>
          <w:sz w:val="20"/>
          <w:szCs w:val="20"/>
        </w:rPr>
      </w:pPr>
      <w:r w:rsidRPr="006A0037">
        <w:rPr>
          <w:rFonts w:cs="Arial"/>
          <w:b/>
          <w:bCs/>
          <w:sz w:val="20"/>
          <w:szCs w:val="20"/>
        </w:rPr>
        <w:t xml:space="preserve">Sistema de </w:t>
      </w:r>
      <w:r w:rsidR="00AF53FF" w:rsidRPr="006A0037">
        <w:rPr>
          <w:rFonts w:cs="Arial"/>
          <w:b/>
          <w:bCs/>
          <w:sz w:val="20"/>
          <w:szCs w:val="20"/>
        </w:rPr>
        <w:t>R</w:t>
      </w:r>
      <w:r w:rsidRPr="006A0037">
        <w:rPr>
          <w:rFonts w:cs="Arial"/>
          <w:b/>
          <w:bCs/>
          <w:sz w:val="20"/>
          <w:szCs w:val="20"/>
        </w:rPr>
        <w:t xml:space="preserve">egistro de </w:t>
      </w:r>
      <w:r w:rsidR="00AF53FF" w:rsidRPr="006A0037">
        <w:rPr>
          <w:rFonts w:cs="Arial"/>
          <w:b/>
          <w:bCs/>
          <w:sz w:val="20"/>
          <w:szCs w:val="20"/>
        </w:rPr>
        <w:t>P</w:t>
      </w:r>
      <w:r w:rsidRPr="006A0037">
        <w:rPr>
          <w:rFonts w:cs="Arial"/>
          <w:b/>
          <w:bCs/>
          <w:sz w:val="20"/>
          <w:szCs w:val="20"/>
        </w:rPr>
        <w:t>reços</w:t>
      </w:r>
    </w:p>
    <w:p w:rsidR="00925D03" w:rsidRPr="006A0037" w:rsidRDefault="00473A3D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 xml:space="preserve">PREGÃO ELETRÔNICO </w:t>
      </w:r>
    </w:p>
    <w:p w:rsidR="001E14AF" w:rsidRPr="00E54578" w:rsidRDefault="001E14AF" w:rsidP="00E54578">
      <w:pPr>
        <w:jc w:val="center"/>
        <w:rPr>
          <w:rFonts w:cs="Arial"/>
          <w:bCs/>
          <w:iCs/>
          <w:color w:val="000000"/>
          <w:sz w:val="20"/>
          <w:szCs w:val="20"/>
        </w:rPr>
      </w:pPr>
      <w:r w:rsidRPr="006A0037">
        <w:rPr>
          <w:rFonts w:cs="Arial"/>
          <w:bCs/>
          <w:iCs/>
          <w:color w:val="000000"/>
          <w:sz w:val="20"/>
          <w:szCs w:val="20"/>
        </w:rPr>
        <w:t>(COMPRA</w:t>
      </w:r>
      <w:r w:rsidR="00925D03" w:rsidRPr="006A0037">
        <w:rPr>
          <w:rFonts w:cs="Arial"/>
          <w:bCs/>
          <w:iCs/>
          <w:color w:val="000000"/>
          <w:sz w:val="20"/>
          <w:szCs w:val="20"/>
        </w:rPr>
        <w:t>S</w:t>
      </w:r>
      <w:r w:rsidRPr="006A0037">
        <w:rPr>
          <w:rFonts w:cs="Arial"/>
          <w:bCs/>
          <w:iCs/>
          <w:color w:val="000000"/>
          <w:sz w:val="20"/>
          <w:szCs w:val="20"/>
        </w:rPr>
        <w:t>)</w:t>
      </w:r>
    </w:p>
    <w:p w:rsidR="001E14AF" w:rsidRPr="00E54578" w:rsidRDefault="00E54578" w:rsidP="004F5DB8">
      <w:pPr>
        <w:jc w:val="center"/>
        <w:rPr>
          <w:rFonts w:cs="Arial"/>
          <w:b/>
          <w:bCs/>
          <w:sz w:val="20"/>
          <w:szCs w:val="20"/>
        </w:rPr>
      </w:pPr>
      <w:r w:rsidRPr="00E54578">
        <w:rPr>
          <w:rFonts w:cs="Arial"/>
          <w:b/>
          <w:bCs/>
          <w:sz w:val="20"/>
          <w:szCs w:val="20"/>
        </w:rPr>
        <w:t>UNIVERSIDADE FEDERAL DE ALAGOAS</w:t>
      </w:r>
    </w:p>
    <w:p w:rsidR="001E14AF" w:rsidRPr="006A0037" w:rsidRDefault="001E14A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 xml:space="preserve">PREGÃO </w:t>
      </w:r>
      <w:r w:rsidR="009F6245" w:rsidRPr="006A0037">
        <w:rPr>
          <w:rFonts w:cs="Arial"/>
          <w:b/>
          <w:bCs/>
          <w:sz w:val="20"/>
          <w:szCs w:val="20"/>
        </w:rPr>
        <w:t xml:space="preserve">SRP </w:t>
      </w:r>
      <w:r w:rsidRPr="006A0037">
        <w:rPr>
          <w:rFonts w:cs="Arial"/>
          <w:b/>
          <w:bCs/>
          <w:color w:val="000000"/>
          <w:sz w:val="20"/>
          <w:szCs w:val="20"/>
        </w:rPr>
        <w:t xml:space="preserve">Nº </w:t>
      </w:r>
      <w:r w:rsidR="00E54578">
        <w:rPr>
          <w:rFonts w:cs="Arial"/>
          <w:b/>
          <w:bCs/>
          <w:color w:val="000000"/>
          <w:sz w:val="20"/>
          <w:szCs w:val="20"/>
        </w:rPr>
        <w:t>4</w:t>
      </w:r>
      <w:r w:rsidRPr="006A0037">
        <w:rPr>
          <w:rFonts w:cs="Arial"/>
          <w:b/>
          <w:bCs/>
          <w:color w:val="000000"/>
          <w:sz w:val="20"/>
          <w:szCs w:val="20"/>
        </w:rPr>
        <w:t>/20</w:t>
      </w:r>
      <w:r w:rsidR="00E54578">
        <w:rPr>
          <w:rFonts w:cs="Arial"/>
          <w:b/>
          <w:bCs/>
          <w:color w:val="000000"/>
          <w:sz w:val="20"/>
          <w:szCs w:val="20"/>
        </w:rPr>
        <w:t>18</w:t>
      </w:r>
    </w:p>
    <w:p w:rsidR="001E14AF" w:rsidRPr="006A0037" w:rsidRDefault="001E14AF" w:rsidP="004F5DB8">
      <w:pPr>
        <w:jc w:val="center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>(Processo Administrativo n.°</w:t>
      </w:r>
      <w:r w:rsidR="00BD1E30">
        <w:rPr>
          <w:rFonts w:cs="Arial"/>
          <w:bCs/>
          <w:color w:val="000000"/>
          <w:sz w:val="20"/>
          <w:szCs w:val="20"/>
        </w:rPr>
        <w:t xml:space="preserve"> 23065.010773/2018-82</w:t>
      </w:r>
      <w:r w:rsidRPr="006A0037">
        <w:rPr>
          <w:rFonts w:cs="Arial"/>
          <w:bCs/>
          <w:color w:val="000000"/>
          <w:sz w:val="20"/>
          <w:szCs w:val="20"/>
        </w:rPr>
        <w:t>)</w:t>
      </w:r>
    </w:p>
    <w:p w:rsidR="001E14AF" w:rsidRPr="006A0037" w:rsidRDefault="001E14AF" w:rsidP="001E14AF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E14AF" w:rsidRPr="006A0037" w:rsidRDefault="001E14AF" w:rsidP="001E14AF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DO OBJETO</w:t>
      </w:r>
    </w:p>
    <w:p w:rsidR="00E35957" w:rsidRPr="006A0037" w:rsidRDefault="00E35957" w:rsidP="00E35957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:rsidR="001E14AF" w:rsidRPr="000658CE" w:rsidRDefault="001E14AF" w:rsidP="004A5AC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 w:val="20"/>
          <w:szCs w:val="20"/>
        </w:rPr>
      </w:pPr>
      <w:r w:rsidRPr="000658CE">
        <w:rPr>
          <w:rFonts w:cs="Arial"/>
          <w:sz w:val="20"/>
          <w:szCs w:val="20"/>
        </w:rPr>
        <w:t>Aquisição de</w:t>
      </w:r>
      <w:r w:rsidR="003F2CA7" w:rsidRPr="000658CE">
        <w:rPr>
          <w:rFonts w:cs="Arial"/>
          <w:sz w:val="20"/>
          <w:szCs w:val="20"/>
        </w:rPr>
        <w:t xml:space="preserve"> </w:t>
      </w:r>
      <w:r w:rsidR="000658CE" w:rsidRPr="000658CE">
        <w:rPr>
          <w:rFonts w:cs="Arial"/>
          <w:sz w:val="20"/>
          <w:szCs w:val="20"/>
        </w:rPr>
        <w:t>materiais de consumo para a FOUFAL</w:t>
      </w:r>
      <w:r w:rsidRPr="000658CE">
        <w:rPr>
          <w:rFonts w:cs="Arial"/>
          <w:b/>
          <w:sz w:val="20"/>
          <w:szCs w:val="20"/>
        </w:rPr>
        <w:t>,</w:t>
      </w:r>
      <w:r w:rsidRPr="000658CE">
        <w:rPr>
          <w:rFonts w:cs="Arial"/>
          <w:sz w:val="20"/>
          <w:szCs w:val="20"/>
        </w:rPr>
        <w:t xml:space="preserve"> c</w:t>
      </w:r>
      <w:r w:rsidR="005C04BF" w:rsidRPr="000658CE">
        <w:rPr>
          <w:rFonts w:cs="Arial"/>
          <w:sz w:val="20"/>
          <w:szCs w:val="20"/>
        </w:rPr>
        <w:t>onforme condições, quantidades,</w:t>
      </w:r>
      <w:r w:rsidRPr="000658CE">
        <w:rPr>
          <w:rFonts w:cs="Arial"/>
          <w:sz w:val="20"/>
          <w:szCs w:val="20"/>
        </w:rPr>
        <w:t xml:space="preserve"> exigências </w:t>
      </w:r>
      <w:r w:rsidR="000658CE" w:rsidRPr="000658CE">
        <w:rPr>
          <w:rFonts w:cs="Arial"/>
          <w:sz w:val="20"/>
          <w:szCs w:val="20"/>
        </w:rPr>
        <w:t xml:space="preserve">e estimativas, </w:t>
      </w:r>
      <w:r w:rsidR="00783DC8" w:rsidRPr="000658CE">
        <w:rPr>
          <w:rFonts w:cs="Arial"/>
          <w:sz w:val="20"/>
          <w:szCs w:val="20"/>
        </w:rPr>
        <w:t xml:space="preserve">estabelecidas </w:t>
      </w:r>
      <w:r w:rsidRPr="000658CE">
        <w:rPr>
          <w:rFonts w:cs="Arial"/>
          <w:sz w:val="20"/>
          <w:szCs w:val="20"/>
        </w:rPr>
        <w:t>neste instrumento:</w:t>
      </w:r>
    </w:p>
    <w:tbl>
      <w:tblPr>
        <w:tblW w:w="97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8"/>
        <w:gridCol w:w="5528"/>
        <w:gridCol w:w="993"/>
        <w:gridCol w:w="1134"/>
        <w:gridCol w:w="1559"/>
      </w:tblGrid>
      <w:tr w:rsidR="00EE5FEB" w:rsidRPr="006A0037" w:rsidTr="00EE5FEB">
        <w:trPr>
          <w:trHeight w:val="1002"/>
        </w:trPr>
        <w:tc>
          <w:tcPr>
            <w:tcW w:w="488" w:type="dxa"/>
          </w:tcPr>
          <w:p w:rsidR="00EE5FEB" w:rsidRPr="006A0037" w:rsidRDefault="00EE5FEB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EE5FEB" w:rsidRPr="006A0037" w:rsidRDefault="00EE5FEB" w:rsidP="00DA66BE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EE5FEB" w:rsidRPr="006A0037" w:rsidRDefault="00EE5FEB" w:rsidP="00DA66B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DESCRIÇÃO/ ESPECIF.</w:t>
            </w:r>
          </w:p>
        </w:tc>
        <w:tc>
          <w:tcPr>
            <w:tcW w:w="993" w:type="dxa"/>
          </w:tcPr>
          <w:p w:rsidR="00EE5FEB" w:rsidRPr="006A0037" w:rsidRDefault="00EE5FEB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 w:rsidR="00EE5FEB" w:rsidRPr="006A0037" w:rsidRDefault="00EE5FEB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 w:rsidR="00EE5FEB" w:rsidRPr="006A0037" w:rsidRDefault="00EE5FEB" w:rsidP="00DA66BE">
            <w:pPr>
              <w:widowControl w:val="0"/>
              <w:suppressAutoHyphens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134" w:type="dxa"/>
          </w:tcPr>
          <w:p w:rsidR="00EE5FEB" w:rsidRPr="006A0037" w:rsidRDefault="00EE5FEB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QUANTIDADE</w:t>
            </w:r>
          </w:p>
          <w:p w:rsidR="00EE5FEB" w:rsidRPr="006A0037" w:rsidRDefault="00EE5FEB" w:rsidP="00DA66BE">
            <w:pPr>
              <w:widowControl w:val="0"/>
              <w:suppressAutoHyphens/>
              <w:jc w:val="center"/>
              <w:rPr>
                <w:rFonts w:cs="Arial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:rsidR="00EE5FEB" w:rsidRPr="006A0037" w:rsidRDefault="00EE5FEB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sz w:val="16"/>
                <w:szCs w:val="16"/>
              </w:rPr>
              <w:t>VALOR MÁXIMO ACEITÁVEL</w:t>
            </w:r>
          </w:p>
        </w:tc>
      </w:tr>
      <w:tr w:rsidR="00EE5FEB" w:rsidRPr="006A0037" w:rsidTr="00EE5FEB">
        <w:trPr>
          <w:trHeight w:val="802"/>
        </w:trPr>
        <w:tc>
          <w:tcPr>
            <w:tcW w:w="488" w:type="dxa"/>
          </w:tcPr>
          <w:p w:rsidR="00EE5FEB" w:rsidRPr="006A0037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6A0037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</w:tcPr>
          <w:p w:rsidR="00EE5FEB" w:rsidRPr="006A0037" w:rsidRDefault="00EE5FE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FORMOCRESOL, COMPOSIÇÃO FORMALDEÍDO + ORTO-CRESOL, CONCENTRAÇÃO 19% + 35% APROXIMADAMENTE, VEÍCULO EM SOLUÇÃO GLICERINADA. FRASCO COM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10ML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93" w:type="dxa"/>
          </w:tcPr>
          <w:p w:rsidR="00EE5FEB" w:rsidRPr="006A0037" w:rsidRDefault="00EE5FE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EE5FE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EE5FE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R$ 5,68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Pr="00B179BF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B179BF">
              <w:rPr>
                <w:rFonts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28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CIMENTO RESINOSO, COMPOSIÇÃO BÁSICA DE ADESIVO RESINO DUAL. UNIDADE: KIT COM 5G OU 6 G+ PONTEIRAS. ASPECTO FÍSICO BASE +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CATALISADOR ,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CONJUNTO COMPLETO.APLICAÇÃO CIMENTAÇÃO DE COROAS E PONTES METÁLICAS, CIMENTAÇÃO DE INLAYS E ONLAYS, PONTES E RESINA CARACTERÍSTICAS ADICIONAISPARTÍCULAS INORGÂNICAS(CARGA) ZIRCÔNIA</w:t>
            </w:r>
          </w:p>
        </w:tc>
        <w:tc>
          <w:tcPr>
            <w:tcW w:w="993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R$ 136,49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Pr="006A0037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528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CLOREXIDRINA DIGLICONATO, CONCENTRAÇÃO 0,12%, FORMA FARMACÊUTICA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COLUTÓRIO .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FRASCO COM 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1000ML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 SEM ÁLCOOL</w:t>
            </w:r>
          </w:p>
        </w:tc>
        <w:tc>
          <w:tcPr>
            <w:tcW w:w="993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R$ 45,91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Pr="006A0037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528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Condicionador dental, tipo ácido fosfórico, concentração 37%, aspecto físico gel. Seringa 2,5 Ml.</w:t>
            </w:r>
          </w:p>
        </w:tc>
        <w:tc>
          <w:tcPr>
            <w:tcW w:w="993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SERINGA</w:t>
            </w:r>
          </w:p>
        </w:tc>
        <w:tc>
          <w:tcPr>
            <w:tcW w:w="1134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</w:tcPr>
          <w:p w:rsidR="00EE5FEB" w:rsidRPr="006A0037" w:rsidRDefault="00397F65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R$ 1,76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528" w:type="dxa"/>
          </w:tcPr>
          <w:p w:rsidR="00EE5FEB" w:rsidRPr="006A0037" w:rsidRDefault="0038570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Cimento de ionômero de vidro, tipo forração, ativação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autopolimerizável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>, aspecto físico pó + líquido, apresentação conjunto completo.</w:t>
            </w:r>
          </w:p>
        </w:tc>
        <w:tc>
          <w:tcPr>
            <w:tcW w:w="993" w:type="dxa"/>
          </w:tcPr>
          <w:p w:rsidR="00EE5FEB" w:rsidRPr="006A0037" w:rsidRDefault="0038570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:rsidR="00EE5FEB" w:rsidRPr="006A0037" w:rsidRDefault="0038570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EE5FEB" w:rsidRPr="006A0037" w:rsidRDefault="0038570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R$ 36,95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528" w:type="dxa"/>
          </w:tcPr>
          <w:p w:rsidR="00EE5FEB" w:rsidRPr="006A0037" w:rsidRDefault="00D961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Verniz dentário com Fluoreto de Sódio. Frasco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10ml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93" w:type="dxa"/>
          </w:tcPr>
          <w:p w:rsidR="00EE5FEB" w:rsidRPr="006A0037" w:rsidRDefault="00D961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:rsidR="00EE5FEB" w:rsidRPr="006A0037" w:rsidRDefault="00D961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D961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R$ 22,98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528" w:type="dxa"/>
          </w:tcPr>
          <w:p w:rsidR="00EE5FEB" w:rsidRPr="006A0037" w:rsidRDefault="00806DD7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FLUORETO DE SÓDIO, CONCENTRAÇÃO 1,23%, FORMA FARMACÊUTICA GEL TIXOTRÓPICO, CAPACIDADE DO FRASCO COM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200ml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. CARACTERÍSTICAS ADCIONAIS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INCOLOR.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EMBALAGEM COM 200ML</w:t>
            </w:r>
          </w:p>
        </w:tc>
        <w:tc>
          <w:tcPr>
            <w:tcW w:w="993" w:type="dxa"/>
          </w:tcPr>
          <w:p w:rsidR="00EE5FEB" w:rsidRPr="006A0037" w:rsidRDefault="00806DD7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806DD7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EE5FEB" w:rsidRPr="006A0037" w:rsidRDefault="00806DD7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R$ 4,50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528" w:type="dxa"/>
          </w:tcPr>
          <w:p w:rsidR="00EE5FEB" w:rsidRPr="006A0037" w:rsidRDefault="00A37D1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HIDROCORTISONA 10MG + SULFATO DE NEOMICINA5MG+ SULFATO DE POLIMIXINA B 10.000 UL. SOLUÇÃO 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OTOLÓGICA .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CADA FRASCO CONTÉM 10 ML.</w:t>
            </w:r>
          </w:p>
        </w:tc>
        <w:tc>
          <w:tcPr>
            <w:tcW w:w="993" w:type="dxa"/>
          </w:tcPr>
          <w:p w:rsidR="00EE5FEB" w:rsidRPr="006A0037" w:rsidRDefault="00A37D1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A37D1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A37D1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R$ 15,76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528" w:type="dxa"/>
          </w:tcPr>
          <w:p w:rsidR="00EE5FEB" w:rsidRPr="006A0037" w:rsidRDefault="004D00B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HEMOSTÁTICO TÓPICO, PRINCÍPIO ATIVO CLORETO DE ALUMÍNIO, ASPECTO FÍSICO LÍQUIDO. FRASCO 10 ML.</w:t>
            </w:r>
          </w:p>
        </w:tc>
        <w:tc>
          <w:tcPr>
            <w:tcW w:w="993" w:type="dxa"/>
          </w:tcPr>
          <w:p w:rsidR="00EE5FEB" w:rsidRPr="006A0037" w:rsidRDefault="004D00B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4D00B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4D00B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R$ 11,16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EE5FEB" w:rsidRPr="006A0037" w:rsidRDefault="009D5752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Hidróxido de cálcio, aspecto físico pó ou cristal fino branco, fórmula química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ca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(oh)2, peso molecular 74,09, grau de pureza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pureza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mínima de 95%, característica adicional reagente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p.a.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, número de referência química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cas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1305-62-0.</w:t>
            </w:r>
          </w:p>
        </w:tc>
        <w:tc>
          <w:tcPr>
            <w:tcW w:w="993" w:type="dxa"/>
          </w:tcPr>
          <w:p w:rsidR="00EE5FEB" w:rsidRPr="006A0037" w:rsidRDefault="009D5752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GRAMA</w:t>
            </w:r>
          </w:p>
        </w:tc>
        <w:tc>
          <w:tcPr>
            <w:tcW w:w="1134" w:type="dxa"/>
          </w:tcPr>
          <w:p w:rsidR="00EE5FEB" w:rsidRPr="006A0037" w:rsidRDefault="009D5752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EE5FEB" w:rsidRPr="006A0037" w:rsidRDefault="009D5752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R$ 8,15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8" w:type="dxa"/>
          </w:tcPr>
          <w:p w:rsidR="00EE5FEB" w:rsidRPr="006A0037" w:rsidRDefault="003D243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RESINA ACRÍLICA AUTOPOLIMERIZÁVEL, ASPECTO FÍSICO LÍQUIDO. FRASCO COM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500ML</w:t>
            </w:r>
            <w:proofErr w:type="gramEnd"/>
          </w:p>
        </w:tc>
        <w:tc>
          <w:tcPr>
            <w:tcW w:w="993" w:type="dxa"/>
          </w:tcPr>
          <w:p w:rsidR="00EE5FEB" w:rsidRPr="006A0037" w:rsidRDefault="003D243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3D243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3D243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R$ 55,19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28" w:type="dxa"/>
          </w:tcPr>
          <w:p w:rsidR="00EE5FEB" w:rsidRPr="006A0037" w:rsidRDefault="00EB773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RESINA ACRÍLICA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AUPOLIMERIZÁVEL ,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INCOLOR. FRASCO 220G</w:t>
            </w:r>
          </w:p>
        </w:tc>
        <w:tc>
          <w:tcPr>
            <w:tcW w:w="993" w:type="dxa"/>
          </w:tcPr>
          <w:p w:rsidR="00EE5FEB" w:rsidRPr="006A0037" w:rsidRDefault="00EB773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EB773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EE5FEB" w:rsidRPr="006A0037" w:rsidRDefault="00EB773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R$ 31,06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8" w:type="dxa"/>
          </w:tcPr>
          <w:p w:rsidR="00EE5FEB" w:rsidRPr="006A0037" w:rsidRDefault="00104A2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RESINA ACRÍLICA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AUPOLIMERIZÁVEL ,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COR ROSA ESCURO. FRASCO 220G</w:t>
            </w:r>
          </w:p>
        </w:tc>
        <w:tc>
          <w:tcPr>
            <w:tcW w:w="993" w:type="dxa"/>
          </w:tcPr>
          <w:p w:rsidR="00EE5FEB" w:rsidRPr="006A0037" w:rsidRDefault="00104A2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104A2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EE5FEB" w:rsidRPr="006A0037" w:rsidRDefault="00104A2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R$ 31,08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28" w:type="dxa"/>
          </w:tcPr>
          <w:p w:rsidR="00EE5FEB" w:rsidRPr="006A0037" w:rsidRDefault="00854CD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VERNIZ DENTÁRIO, TIPO CAVITÁRIO, COMPOSIÇÃO RESINA E SOLVENTE. FRASCO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15ml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93" w:type="dxa"/>
          </w:tcPr>
          <w:p w:rsidR="00EE5FEB" w:rsidRPr="006A0037" w:rsidRDefault="00854CD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854CD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854CD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R$ 10,89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5528" w:type="dxa"/>
          </w:tcPr>
          <w:p w:rsidR="00EE5FEB" w:rsidRPr="006A0037" w:rsidRDefault="00ED5830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CRESOL, COMPOSIÇÃO FORMOL, CONCENTRAÇÃO 45% + 39%, ASPECTO FÍSICO* SOLUÇÃO INTRACANAL. FRASCO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10ML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93" w:type="dxa"/>
          </w:tcPr>
          <w:p w:rsidR="00EE5FEB" w:rsidRPr="006A0037" w:rsidRDefault="00ED5830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ED5830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ED5830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R$ 4,93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8" w:type="dxa"/>
          </w:tcPr>
          <w:p w:rsidR="00EE5FEB" w:rsidRPr="006A0037" w:rsidRDefault="00641782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FLUORETO DE SÓDIO, CONCENTRAÇÃO 1,23%, FORMA FARMACÊUTICA GEL TIXOTRÓPICO, CARACTERÍSTICA ADICIONAL ACIDULADO, SABOR MORANGO. FRASCO 200 ML.</w:t>
            </w:r>
          </w:p>
        </w:tc>
        <w:tc>
          <w:tcPr>
            <w:tcW w:w="993" w:type="dxa"/>
          </w:tcPr>
          <w:p w:rsidR="00EE5FEB" w:rsidRPr="006A0037" w:rsidRDefault="00641782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641782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</w:tcPr>
          <w:p w:rsidR="00EE5FEB" w:rsidRPr="006A0037" w:rsidRDefault="00641782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R$ 5,42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28" w:type="dxa"/>
          </w:tcPr>
          <w:p w:rsidR="00EE5FEB" w:rsidRPr="006A0037" w:rsidRDefault="008A0E6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RESINA COMPOSTA, TIPO FOTOPOLIMERIZÁVEL, TAMANHO PARTÍCULAS NANOPARTICULADAS. TODAS AS PARTÍCULAS COM TAMANHO INFERIOR A 100 NANOMETROS. MATRIZ ORGÂNICA DE BIS-GMA, UDMA, TEGDMA, PEGDMA E BIS-EMA E PARTÍCULAS INORGÂNICAS DE ZIRCÔNIA/ SÍLICA. ASPECTO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FÍSICO PASTOSA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 COR A1. APRESENTAÇÃO 4G</w:t>
            </w:r>
          </w:p>
        </w:tc>
        <w:tc>
          <w:tcPr>
            <w:tcW w:w="993" w:type="dxa"/>
          </w:tcPr>
          <w:p w:rsidR="00EE5FEB" w:rsidRPr="006A0037" w:rsidRDefault="008A0E6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134" w:type="dxa"/>
          </w:tcPr>
          <w:p w:rsidR="00EE5FEB" w:rsidRPr="006A0037" w:rsidRDefault="008A0E6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EE5FEB" w:rsidRPr="006A0037" w:rsidRDefault="008A0E6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R$ 47,06</w:t>
            </w:r>
          </w:p>
        </w:tc>
      </w:tr>
      <w:tr w:rsidR="00CD70CB" w:rsidRPr="006A0037" w:rsidTr="00EE5FEB">
        <w:trPr>
          <w:trHeight w:val="339"/>
        </w:trPr>
        <w:tc>
          <w:tcPr>
            <w:tcW w:w="488" w:type="dxa"/>
          </w:tcPr>
          <w:p w:rsidR="00CD70CB" w:rsidRDefault="00CD70C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28" w:type="dxa"/>
          </w:tcPr>
          <w:p w:rsidR="00CD70CB" w:rsidRPr="006A0037" w:rsidRDefault="005C3EE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RESINA COMPOSTA, TIPO FOTOPOLIMERIZÁVEL, TAMANHO PARTÍCULAS NANOPARTICULADAS. TODAS AS PARTÍCULAS COM TAMANHO INFERIOR A 100 NANOMETROS. MATRIZ ORGÂNICA DE BIS-GMA, UDMA, TEGDMA, PEGDMA E BIS-EMA E PARTÍCULAS INORGÂNICAS DE ZIRCÔNIA/ SÍLICA. ASPECTO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FÍSICO PASTOSA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 COR A2. APRESENTAÇÃO 4G</w:t>
            </w:r>
          </w:p>
        </w:tc>
        <w:tc>
          <w:tcPr>
            <w:tcW w:w="993" w:type="dxa"/>
          </w:tcPr>
          <w:p w:rsidR="00CD70CB" w:rsidRPr="006A0037" w:rsidRDefault="00CD70C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134" w:type="dxa"/>
          </w:tcPr>
          <w:p w:rsidR="00CD70CB" w:rsidRPr="006A0037" w:rsidRDefault="00CD70C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CD70CB" w:rsidRDefault="00CD70CB">
            <w:r w:rsidRPr="0024412B">
              <w:rPr>
                <w:rFonts w:cs="Arial"/>
                <w:color w:val="000000"/>
                <w:sz w:val="16"/>
                <w:szCs w:val="16"/>
              </w:rPr>
              <w:t>R$ 47,06</w:t>
            </w:r>
          </w:p>
        </w:tc>
      </w:tr>
      <w:tr w:rsidR="00CD70CB" w:rsidRPr="006A0037" w:rsidTr="00EE5FEB">
        <w:trPr>
          <w:trHeight w:val="339"/>
        </w:trPr>
        <w:tc>
          <w:tcPr>
            <w:tcW w:w="488" w:type="dxa"/>
          </w:tcPr>
          <w:p w:rsidR="00CD70CB" w:rsidRDefault="00CD70C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28" w:type="dxa"/>
          </w:tcPr>
          <w:p w:rsidR="00CD70CB" w:rsidRPr="006A0037" w:rsidRDefault="005C3EE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RESINA COMPOSTA, TIPO FOTOPOLIMERIZÁVEL, TAMANHO PARTÍCULAS NANOPARTICULADAS. TODAS AS PARTÍCULAS COM TAMANHO INFERIOR A 100 NANOMETROS. MATRIZ ORGÂNICA DE BIS-GMA, UDMA, TEGDMA, PEGDMA E BIS-EMA E PARTÍCULAS INORGÂNICAS DE ZIRCÔNIA/ SÍLICA. ASPECTO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FÍSICO PASTOSA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 COR A3. APRESENTAÇÃO 4G.</w:t>
            </w:r>
          </w:p>
        </w:tc>
        <w:tc>
          <w:tcPr>
            <w:tcW w:w="993" w:type="dxa"/>
          </w:tcPr>
          <w:p w:rsidR="00CD70CB" w:rsidRPr="006A0037" w:rsidRDefault="00CD70C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134" w:type="dxa"/>
          </w:tcPr>
          <w:p w:rsidR="00CD70CB" w:rsidRPr="006A0037" w:rsidRDefault="00CD70C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CD70CB" w:rsidRDefault="00CD70CB">
            <w:r w:rsidRPr="0024412B">
              <w:rPr>
                <w:rFonts w:cs="Arial"/>
                <w:color w:val="000000"/>
                <w:sz w:val="16"/>
                <w:szCs w:val="16"/>
              </w:rPr>
              <w:t>R$ 47,06</w:t>
            </w:r>
          </w:p>
        </w:tc>
      </w:tr>
      <w:tr w:rsidR="00CD70CB" w:rsidRPr="006A0037" w:rsidTr="00EE5FEB">
        <w:trPr>
          <w:trHeight w:val="339"/>
        </w:trPr>
        <w:tc>
          <w:tcPr>
            <w:tcW w:w="488" w:type="dxa"/>
          </w:tcPr>
          <w:p w:rsidR="00CD70CB" w:rsidRDefault="00CD70C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8" w:type="dxa"/>
          </w:tcPr>
          <w:p w:rsidR="00CD70CB" w:rsidRPr="006A0037" w:rsidRDefault="005C3EE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RESINA COMPOSTA, TIPO FOTOPOLIMERIZÁVEL, TAMANHO PARTÍCULAS NANOPARTICULADAS. TODAS AS PARTÍCULAS COM TAMANHO INFERIOR A 100 NANOMETROS. MATRIZ ORGÂNICA DE BIS-GMA, UDMA, TEGDMA, PEGDMA E BIS-EMA E PARTÍCULAS INORGÂNICAS DE ZIRCÔNIA/ SÍLICA. ASPECTO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FÍSICO PASTOSA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. COR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A3,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5. APRESENTAÇÃO 4G.</w:t>
            </w:r>
          </w:p>
        </w:tc>
        <w:tc>
          <w:tcPr>
            <w:tcW w:w="993" w:type="dxa"/>
          </w:tcPr>
          <w:p w:rsidR="00CD70CB" w:rsidRPr="006A0037" w:rsidRDefault="00CD70C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134" w:type="dxa"/>
          </w:tcPr>
          <w:p w:rsidR="00CD70CB" w:rsidRPr="006A0037" w:rsidRDefault="00CD70C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CD70CB" w:rsidRDefault="00CD70CB">
            <w:r w:rsidRPr="0024412B">
              <w:rPr>
                <w:rFonts w:cs="Arial"/>
                <w:color w:val="000000"/>
                <w:sz w:val="16"/>
                <w:szCs w:val="16"/>
              </w:rPr>
              <w:t>R$ 47,06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28" w:type="dxa"/>
          </w:tcPr>
          <w:p w:rsidR="00EE5FEB" w:rsidRPr="006A0037" w:rsidRDefault="00BC28C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RESINA COMPOSTA, TIPO FOTOPOLIMERIZÁVEL, TAMANHO PARTÍCULAS NANOPARTICULADAS. TODAS AS PARTÍCULAS COM TAMANHO INFERIOR A 100 NANOMETROS. MATRIZ ORGÂNICA DE BIS-GMA, UDMA, TEGDMA, PEGDMA E BIS-EMA E PARTÍCULAS INORGÂNICAS DE ZIRCÔNIA/ SÍLICA. ASPECTO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FÍSICO PASTOSA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 COR OA3 APRESENTAÇÃO 4G.</w:t>
            </w:r>
          </w:p>
        </w:tc>
        <w:tc>
          <w:tcPr>
            <w:tcW w:w="993" w:type="dxa"/>
          </w:tcPr>
          <w:p w:rsidR="00EE5FEB" w:rsidRPr="006A0037" w:rsidRDefault="00BC28C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134" w:type="dxa"/>
          </w:tcPr>
          <w:p w:rsidR="00EE5FEB" w:rsidRPr="006A0037" w:rsidRDefault="00BC28C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EE5FEB" w:rsidRPr="006A0037" w:rsidRDefault="00BC28C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R$ 47,06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28" w:type="dxa"/>
          </w:tcPr>
          <w:p w:rsidR="00EE5FEB" w:rsidRPr="006A0037" w:rsidRDefault="00EC1A0A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Cimento odontológico, composição fosfato de zinco, aspecto físico líquido.</w:t>
            </w:r>
          </w:p>
        </w:tc>
        <w:tc>
          <w:tcPr>
            <w:tcW w:w="993" w:type="dxa"/>
          </w:tcPr>
          <w:p w:rsidR="00EE5FEB" w:rsidRPr="006A0037" w:rsidRDefault="00EC1A0A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:rsidR="00EE5FEB" w:rsidRPr="006A0037" w:rsidRDefault="00EC1A0A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EE5FEB" w:rsidRPr="006A0037" w:rsidRDefault="00EC1A0A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R$ 12,31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28" w:type="dxa"/>
          </w:tcPr>
          <w:p w:rsidR="00EE5FEB" w:rsidRPr="006A0037" w:rsidRDefault="00C67C2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Cimento odontológico, composição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oxifosfato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de zinco, apresentação pó, uso curativo / cimentação incrustações. Frasco 28 g.</w:t>
            </w:r>
          </w:p>
        </w:tc>
        <w:tc>
          <w:tcPr>
            <w:tcW w:w="993" w:type="dxa"/>
          </w:tcPr>
          <w:p w:rsidR="00EE5FEB" w:rsidRPr="006A0037" w:rsidRDefault="00C67C2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C67C2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EE5FEB" w:rsidRPr="006A0037" w:rsidRDefault="00C67C2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R$ 11,43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28" w:type="dxa"/>
          </w:tcPr>
          <w:p w:rsidR="00EE5FEB" w:rsidRPr="006A0037" w:rsidRDefault="00EA6C8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PASTA MOLDAGEM, MATERIAL BÁSICO SILICONE DE CONDENSAÇÃO, TIPO DENSO + FLUIDO + CATALISADOR, APRESENTAÇÃO CONJUNTO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COMPLETO</w:t>
            </w:r>
            <w:proofErr w:type="gramEnd"/>
          </w:p>
        </w:tc>
        <w:tc>
          <w:tcPr>
            <w:tcW w:w="993" w:type="dxa"/>
          </w:tcPr>
          <w:p w:rsidR="00EE5FEB" w:rsidRPr="006A0037" w:rsidRDefault="00EA6C8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:rsidR="00EE5FEB" w:rsidRPr="006A0037" w:rsidRDefault="00EA6C8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EE5FEB" w:rsidRPr="006A0037" w:rsidRDefault="00EA6C8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R$ 193,60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28" w:type="dxa"/>
          </w:tcPr>
          <w:p w:rsidR="00EE5FEB" w:rsidRPr="006A0037" w:rsidRDefault="00F913E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EUCALIPTOL, LÍQUIDO INCOLOR, C10H18O, 154,25 G/MOL, MÍNIMO DE 99%, CAS 470-82-6.</w:t>
            </w:r>
          </w:p>
        </w:tc>
        <w:tc>
          <w:tcPr>
            <w:tcW w:w="993" w:type="dxa"/>
          </w:tcPr>
          <w:p w:rsidR="00EE5FEB" w:rsidRPr="006A0037" w:rsidRDefault="00F913E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MILILITROS</w:t>
            </w:r>
          </w:p>
        </w:tc>
        <w:tc>
          <w:tcPr>
            <w:tcW w:w="1134" w:type="dxa"/>
          </w:tcPr>
          <w:p w:rsidR="00EE5FEB" w:rsidRPr="006A0037" w:rsidRDefault="00F913E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F913EB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R$ 7,76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28" w:type="dxa"/>
          </w:tcPr>
          <w:p w:rsidR="00EE5FEB" w:rsidRPr="006A0037" w:rsidRDefault="00745F27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EDTA, COMPOSIÇÃO 17% SOLUÇÃO AQUOSA/SAL DISSÓDICO, APRESENTAÇÃO LÍQUIDO. FRASCO COM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20ML</w:t>
            </w:r>
            <w:proofErr w:type="gramEnd"/>
          </w:p>
        </w:tc>
        <w:tc>
          <w:tcPr>
            <w:tcW w:w="993" w:type="dxa"/>
          </w:tcPr>
          <w:p w:rsidR="00EE5FEB" w:rsidRPr="006A0037" w:rsidRDefault="00745F27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745F27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745F27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R$ 5,28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28" w:type="dxa"/>
          </w:tcPr>
          <w:p w:rsidR="00EE5FEB" w:rsidRPr="006A0037" w:rsidRDefault="003F30A4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RESINA ACRÍLICA TERMOPOLIMERIZÁVEL, ASPECTO FÍSICO PÓ, COR INCOLOR. FRASCO COM 220G</w:t>
            </w:r>
          </w:p>
        </w:tc>
        <w:tc>
          <w:tcPr>
            <w:tcW w:w="993" w:type="dxa"/>
          </w:tcPr>
          <w:p w:rsidR="00EE5FEB" w:rsidRPr="006A0037" w:rsidRDefault="003F30A4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34" w:type="dxa"/>
          </w:tcPr>
          <w:p w:rsidR="00EE5FEB" w:rsidRPr="006A0037" w:rsidRDefault="003F30A4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EE5FEB" w:rsidRPr="006A0037" w:rsidRDefault="005960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R$ 59,7</w:t>
            </w:r>
            <w:r w:rsidR="003F30A4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28" w:type="dxa"/>
          </w:tcPr>
          <w:p w:rsidR="00EE5FEB" w:rsidRPr="006A0037" w:rsidRDefault="00CE63E4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AGENTE ADESIVO DE CONDICIONAMENTO TOTAL, AUTOCONDICIONANTE OU SELETIVO ATIVADO POR LUZ  VISÍVEL QUE INCORPORA CARGA DE SÍLICA DE 5NM DE DIÂMETRO; HEMA, MDP, DIMETACRILATOS, ETANOL, ÁGUA, SISTEMA FOTOINICIADOR E UM COPOLÍMERO FUNCIONAL DE METACRILATO DE ÁCIDOS.</w:t>
            </w:r>
          </w:p>
        </w:tc>
        <w:tc>
          <w:tcPr>
            <w:tcW w:w="993" w:type="dxa"/>
          </w:tcPr>
          <w:p w:rsidR="00EE5FEB" w:rsidRPr="006A0037" w:rsidRDefault="00CE63E4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:rsidR="00EE5FEB" w:rsidRPr="006A0037" w:rsidRDefault="00CE63E4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EE5FEB" w:rsidRPr="006A0037" w:rsidRDefault="00CE63E4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R$ 125,71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28" w:type="dxa"/>
          </w:tcPr>
          <w:p w:rsidR="00EE5FEB" w:rsidRPr="0018426C" w:rsidRDefault="00597175" w:rsidP="004F5DB8">
            <w:pPr>
              <w:widowControl w:val="0"/>
              <w:suppressAutoHyphens/>
              <w:spacing w:after="120" w:line="276" w:lineRule="auto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ACESSÓRIO PARA RADIOLOGIA, TIPO CÂMARA ESCURA PARA REVELAÇÃO, MATERIAL POLIPROPILENO, COMPONENTES VISOR ACRÍLICO REMOVÍVEL,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POTES, USO ODONTOLÓGICO, COMPRIMENTO 34, LARGURA 24, ALTURA 19,5, TIPO USO REVELAR FILME ODONTOLÓGICO, CARACTERÍSTICAS ADICIONAIS COM DEPÓSITO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PARA ÁGUA.</w:t>
            </w:r>
          </w:p>
        </w:tc>
        <w:tc>
          <w:tcPr>
            <w:tcW w:w="993" w:type="dxa"/>
          </w:tcPr>
          <w:p w:rsidR="00EE5FEB" w:rsidRPr="006A0037" w:rsidRDefault="00BE7CA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1134" w:type="dxa"/>
          </w:tcPr>
          <w:p w:rsidR="00EE5FEB" w:rsidRPr="006A0037" w:rsidRDefault="00BE7CA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EE5FEB" w:rsidRPr="006A0037" w:rsidRDefault="00BE7CA6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R$ 147,50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5528" w:type="dxa"/>
          </w:tcPr>
          <w:p w:rsidR="00EE5FEB" w:rsidRPr="006A0037" w:rsidRDefault="00F572E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ABAIXADOR DE LINGUA PARA ABAIXAR A LÍNGUA DURANTE O PROCEDIMENTO ODONTOLÓGICO. MATERIAL DE MADEIRA E DESCARTÁVEL, COMPRIMENTO 14 CM E FORMATO ESPÁTULA, LARGURA 1,5 CM E ESPESSURA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 MM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 PACOTE COM 100 UNIDADES</w:t>
            </w:r>
          </w:p>
        </w:tc>
        <w:tc>
          <w:tcPr>
            <w:tcW w:w="993" w:type="dxa"/>
          </w:tcPr>
          <w:p w:rsidR="00EE5FEB" w:rsidRPr="006A0037" w:rsidRDefault="00F572E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1134" w:type="dxa"/>
          </w:tcPr>
          <w:p w:rsidR="00EE5FEB" w:rsidRPr="006A0037" w:rsidRDefault="00F572E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EE5FEB" w:rsidRPr="006A0037" w:rsidRDefault="00F572E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R$ 4,44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28" w:type="dxa"/>
          </w:tcPr>
          <w:p w:rsidR="00EE5FEB" w:rsidRPr="006A0037" w:rsidRDefault="00F572E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TOUCA DESCARTÁVEL USO HOSPITALAR,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MATERIAL NÃO TECIDO 100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% POLIPROPILENO, MODELO COM ELÁSTICO EM TODA VOLTA, COR SEM COR, GRAMATURA CERCA DE 60, TAMANHO ÚNICO, TIPO USO DESCARTÁVEL, CARACTERÍSTICA ADICIONAL 01 HIPOALERGÊNICA, ATÓXICA, INODORA, UNISSEX. EMBALAGEM 100 UNIDADES.</w:t>
            </w:r>
          </w:p>
        </w:tc>
        <w:tc>
          <w:tcPr>
            <w:tcW w:w="993" w:type="dxa"/>
          </w:tcPr>
          <w:p w:rsidR="00EE5FEB" w:rsidRPr="004D6F9D" w:rsidRDefault="00F572E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 w:rsidRPr="004D6F9D">
              <w:rPr>
                <w:rFonts w:cs="Arial"/>
                <w:color w:val="000000"/>
                <w:sz w:val="14"/>
                <w:szCs w:val="14"/>
              </w:rPr>
              <w:t>EMBALAGEM</w:t>
            </w:r>
          </w:p>
        </w:tc>
        <w:tc>
          <w:tcPr>
            <w:tcW w:w="1134" w:type="dxa"/>
          </w:tcPr>
          <w:p w:rsidR="00EE5FEB" w:rsidRPr="006A0037" w:rsidRDefault="00F572E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</w:tcPr>
          <w:p w:rsidR="00EE5FEB" w:rsidRPr="006A0037" w:rsidRDefault="00F572E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R$ 9,20</w:t>
            </w:r>
          </w:p>
        </w:tc>
      </w:tr>
      <w:tr w:rsidR="00EE5FEB" w:rsidRPr="006A0037" w:rsidTr="00EE5FEB">
        <w:trPr>
          <w:trHeight w:val="339"/>
        </w:trPr>
        <w:tc>
          <w:tcPr>
            <w:tcW w:w="488" w:type="dxa"/>
          </w:tcPr>
          <w:p w:rsidR="00EE5FEB" w:rsidRDefault="00EE5FE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28" w:type="dxa"/>
          </w:tcPr>
          <w:p w:rsidR="00EE5FEB" w:rsidRPr="006A0037" w:rsidRDefault="0093221F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EQUIPAMENTO ODONTOLÓGICO, TIPO FOTOPOLIMERIZADOR, ASPECTO FÍSICO BASE PEÇA DE MÃO SEM FIO, MATERIAL PONTEIRA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PONTEIRA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FIBRA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ÓTICA OU ACRÍLICO, MATERIAL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CORPO PLÁSTICO ABS, FONTE LUZ LED, INSTALAÇÃO ELÉTRICA, COMPONENTES PROTETOR OCULAR. FOTOPOLIMERIZADOR SEM FIO, POTÊNCIA EFETIVA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LUMINOSA1.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100MW/C M2; TEMPO DE FOTOPOLIMERIZAÇÃO DE 10, 20, 40 E 60 SEGUNDOS; INDICADOR DE TEMPO COM BIP SONORO A CADA 10 SEGUNDOS; PONTEIRA DE FIBRA ÓTICA AUTOCLAVÁVEL; GIRO DA PONTEIRA DE 360¨; MATERIAL DE BASE DO CARREGADOR ABS ASA COM UV; PEÇA DE MÃO EM ALUMÍNIO COM TRATAMENTO SUPERFICIAL ANODIZADO. VOLTAGEM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220V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 (PADRÃO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DE REFERÊNCIA: KAVO OU SIMILAR)</w:t>
            </w:r>
          </w:p>
        </w:tc>
        <w:tc>
          <w:tcPr>
            <w:tcW w:w="993" w:type="dxa"/>
          </w:tcPr>
          <w:p w:rsidR="00EE5FEB" w:rsidRPr="006A0037" w:rsidRDefault="0093221F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:rsidR="00EE5FEB" w:rsidRPr="006A0037" w:rsidRDefault="0093221F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EE5FEB" w:rsidRPr="006A0037" w:rsidRDefault="0093221F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R$ 729,42</w:t>
            </w:r>
          </w:p>
        </w:tc>
      </w:tr>
    </w:tbl>
    <w:p w:rsidR="005C04BF" w:rsidRPr="006A0037" w:rsidRDefault="005C04BF" w:rsidP="001E14AF">
      <w:pPr>
        <w:autoSpaceDE w:val="0"/>
        <w:spacing w:after="120" w:line="276" w:lineRule="auto"/>
        <w:jc w:val="both"/>
        <w:rPr>
          <w:rFonts w:cs="Arial"/>
          <w:b/>
          <w:color w:val="000000"/>
          <w:sz w:val="20"/>
          <w:szCs w:val="20"/>
        </w:rPr>
      </w:pPr>
    </w:p>
    <w:p w:rsidR="004F5DB8" w:rsidRPr="006A0037" w:rsidRDefault="004F5DB8" w:rsidP="00E5586D">
      <w:pPr>
        <w:numPr>
          <w:ilvl w:val="0"/>
          <w:numId w:val="1"/>
        </w:numPr>
        <w:autoSpaceDE w:val="0"/>
        <w:spacing w:after="120" w:line="276" w:lineRule="auto"/>
        <w:jc w:val="both"/>
        <w:rPr>
          <w:rFonts w:cs="Arial"/>
          <w:b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JUSTIFICATIVA E OBJETIVO DA CONTRATAÇÃO</w:t>
      </w:r>
    </w:p>
    <w:p w:rsidR="00063430" w:rsidRPr="00063430" w:rsidRDefault="00063430" w:rsidP="00063430">
      <w:pPr>
        <w:pStyle w:val="PargrafodaLista"/>
        <w:numPr>
          <w:ilvl w:val="1"/>
          <w:numId w:val="1"/>
        </w:numPr>
        <w:spacing w:line="360" w:lineRule="auto"/>
        <w:ind w:left="426" w:firstLine="0"/>
        <w:jc w:val="both"/>
        <w:rPr>
          <w:sz w:val="20"/>
          <w:szCs w:val="20"/>
        </w:rPr>
      </w:pPr>
      <w:r w:rsidRPr="00063430">
        <w:rPr>
          <w:sz w:val="20"/>
          <w:szCs w:val="20"/>
        </w:rPr>
        <w:t>O material requisitado é destinado a atender a Faculdade de Odontologia – FOUFAL, que desenvolve as seguintes atividades: atendimento aos usuários que procuram os serviços de saúde e aos discentes durante as aulas práticas. O material é necessário devido às aulas práticas que compõem a grade curricular do curso de odontologia e aos serviços prestados a toda comunidade, e a não aquisição implicará na suspensão das aulas práticas do curso, tendo em vista que os pregões 4/2016 e 6/2016 da FOUFAL já não estão mais disponíveis para solicitação no sistema SIPAC.</w:t>
      </w:r>
    </w:p>
    <w:p w:rsidR="00063430" w:rsidRPr="00063430" w:rsidRDefault="00063430" w:rsidP="00063430">
      <w:pPr>
        <w:pStyle w:val="PargrafodaLista"/>
        <w:numPr>
          <w:ilvl w:val="1"/>
          <w:numId w:val="1"/>
        </w:numPr>
        <w:spacing w:line="360" w:lineRule="auto"/>
        <w:ind w:left="426" w:firstLine="0"/>
        <w:jc w:val="both"/>
        <w:rPr>
          <w:rFonts w:cs="Arial"/>
          <w:sz w:val="20"/>
          <w:szCs w:val="20"/>
        </w:rPr>
      </w:pPr>
      <w:r w:rsidRPr="00063430">
        <w:rPr>
          <w:rFonts w:cs="Arial"/>
          <w:sz w:val="20"/>
          <w:szCs w:val="20"/>
        </w:rPr>
        <w:t>As especificações técnicas e quantitativas dos materiais a serem adquiridos, estão de acordo com o previsto no artigo 15, § 7º, da Lei 8.666/93, demonstrados explicitamente no “Anexo A” Termo de Referência.</w:t>
      </w:r>
    </w:p>
    <w:p w:rsidR="004F5DB8" w:rsidRPr="00063430" w:rsidRDefault="00063430" w:rsidP="00063430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063430">
        <w:rPr>
          <w:bCs/>
          <w:sz w:val="20"/>
          <w:szCs w:val="20"/>
        </w:rPr>
        <w:t xml:space="preserve">Em atenção ao artigo 3º, do Decreto 7.892/2013, informamos que o quantitativo do material requisitado leva em consideração o atendimento das necessidades da Administração, dentro do período de </w:t>
      </w:r>
      <w:proofErr w:type="gramStart"/>
      <w:r w:rsidRPr="00063430">
        <w:rPr>
          <w:bCs/>
          <w:sz w:val="20"/>
          <w:szCs w:val="20"/>
        </w:rPr>
        <w:t>12 (doze) meses – período</w:t>
      </w:r>
      <w:proofErr w:type="gramEnd"/>
      <w:r w:rsidRPr="00063430">
        <w:rPr>
          <w:bCs/>
          <w:sz w:val="20"/>
          <w:szCs w:val="20"/>
        </w:rPr>
        <w:t xml:space="preserve"> máximo da vigência da Ata de Registro de Preços – inclusive o atendimento de situações imprevisíveis, tendo em vista que a Ata de Registro de Preços não permite qualquer aditivo. A estimativa dos materiais a serem adquiridos e sua provável utilização foi baseada em função da média dos anos anteriores. </w:t>
      </w:r>
      <w:r w:rsidR="004F5DB8" w:rsidRPr="00063430">
        <w:rPr>
          <w:rFonts w:cs="Arial"/>
          <w:color w:val="000000"/>
          <w:sz w:val="20"/>
          <w:szCs w:val="20"/>
        </w:rPr>
        <w:t xml:space="preserve"> </w:t>
      </w:r>
    </w:p>
    <w:p w:rsidR="004F5DB8" w:rsidRPr="006A0037" w:rsidRDefault="004F5DB8" w:rsidP="004F5DB8">
      <w:p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CLASSIFICAÇÃO DOS BENS COMUNS</w:t>
      </w:r>
    </w:p>
    <w:p w:rsidR="001E14AF" w:rsidRPr="00D10374" w:rsidRDefault="00D10374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 bens a serem adquiridos enquadram-se na classificação de bens comuns, nos termos da Lei n° 10.520, de 2002, do Decreto n° 3.555, de 2000, e do Decreto 5.450, de 2005</w:t>
      </w:r>
      <w:r>
        <w:rPr>
          <w:rFonts w:cs="Arial"/>
          <w:color w:val="000000"/>
          <w:sz w:val="20"/>
          <w:szCs w:val="20"/>
        </w:rPr>
        <w:t>.</w:t>
      </w:r>
    </w:p>
    <w:p w:rsidR="00D10374" w:rsidRPr="006A0037" w:rsidRDefault="00D10374" w:rsidP="00D10374">
      <w:pPr>
        <w:spacing w:before="120" w:after="120" w:line="276" w:lineRule="auto"/>
        <w:ind w:left="425"/>
        <w:jc w:val="both"/>
        <w:rPr>
          <w:rFonts w:cs="Arial"/>
          <w:b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>ENTREGA E CRITÉRIOS DE ACEITAÇÃO DO OBJETO.</w:t>
      </w:r>
    </w:p>
    <w:p w:rsidR="00D10374" w:rsidRDefault="00D10374" w:rsidP="00D10374">
      <w:pPr>
        <w:pStyle w:val="PargrafodaLista"/>
        <w:numPr>
          <w:ilvl w:val="1"/>
          <w:numId w:val="1"/>
        </w:numPr>
        <w:spacing w:before="120" w:after="120" w:line="276" w:lineRule="auto"/>
        <w:ind w:left="426" w:firstLine="0"/>
        <w:jc w:val="both"/>
      </w:pPr>
      <w:r w:rsidRPr="00D10374">
        <w:rPr>
          <w:rFonts w:cs="Arial"/>
          <w:iCs/>
          <w:color w:val="000000"/>
          <w:sz w:val="20"/>
          <w:szCs w:val="20"/>
        </w:rPr>
        <w:t>O prazo de entrega dos bens é de 30 (trinta) dias, contados a partir do recebimento da nota de empenho, e</w:t>
      </w:r>
      <w:r w:rsidRPr="00D10374">
        <w:rPr>
          <w:rFonts w:cs="Arial"/>
          <w:color w:val="000000"/>
          <w:sz w:val="20"/>
          <w:szCs w:val="20"/>
        </w:rPr>
        <w:t>m remessa única,</w:t>
      </w:r>
      <w:r w:rsidRPr="00D10374">
        <w:rPr>
          <w:rFonts w:cs="Arial"/>
          <w:iCs/>
          <w:color w:val="000000"/>
          <w:sz w:val="20"/>
          <w:szCs w:val="20"/>
        </w:rPr>
        <w:t xml:space="preserve"> nos seguinte endereço:</w:t>
      </w:r>
      <w:r>
        <w:t xml:space="preserve"> </w:t>
      </w:r>
      <w:r w:rsidRPr="00D10374">
        <w:rPr>
          <w:rFonts w:cs="Arial"/>
          <w:iCs/>
          <w:color w:val="000000"/>
          <w:sz w:val="20"/>
          <w:szCs w:val="20"/>
        </w:rPr>
        <w:t xml:space="preserve">Almoxarifado Central da </w:t>
      </w:r>
      <w:r w:rsidRPr="00D10374">
        <w:rPr>
          <w:rFonts w:cs="Arial"/>
          <w:iCs/>
          <w:color w:val="000000"/>
          <w:sz w:val="20"/>
          <w:szCs w:val="20"/>
        </w:rPr>
        <w:lastRenderedPageBreak/>
        <w:t xml:space="preserve">Universidade Federal de Alagoas – Campus A. C. Simões, Avenida Lourival de Melo Mota, S/N, Tabuleiro do Martins, Maceió-AL, CEP 57072-970, telefone (82) 3214-1024, de segunda a sexta feira, no horário das </w:t>
      </w:r>
      <w:proofErr w:type="gramStart"/>
      <w:r w:rsidRPr="00D10374">
        <w:rPr>
          <w:rFonts w:cs="Arial"/>
          <w:iCs/>
          <w:color w:val="000000"/>
          <w:sz w:val="20"/>
          <w:szCs w:val="20"/>
        </w:rPr>
        <w:t>9:00</w:t>
      </w:r>
      <w:proofErr w:type="gramEnd"/>
      <w:r w:rsidRPr="00D10374">
        <w:rPr>
          <w:rFonts w:cs="Arial"/>
          <w:iCs/>
          <w:color w:val="000000"/>
          <w:sz w:val="20"/>
          <w:szCs w:val="20"/>
        </w:rPr>
        <w:t xml:space="preserve"> às 12:00 e das 14:00 às 16:00 horas, conforme estimativa:</w:t>
      </w:r>
    </w:p>
    <w:p w:rsidR="00D10374" w:rsidRDefault="00D10374" w:rsidP="00D10374">
      <w:pPr>
        <w:spacing w:before="120" w:after="120" w:line="276" w:lineRule="auto"/>
        <w:ind w:left="1985" w:hanging="567"/>
        <w:jc w:val="both"/>
      </w:pPr>
      <w:r>
        <w:rPr>
          <w:rFonts w:cs="Arial"/>
          <w:iCs/>
          <w:color w:val="000000"/>
          <w:sz w:val="20"/>
          <w:szCs w:val="20"/>
        </w:rPr>
        <w:t xml:space="preserve">4.1.1. </w:t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  <w:t xml:space="preserve">     25% no primeiro trimestre;</w:t>
      </w:r>
    </w:p>
    <w:p w:rsidR="00D10374" w:rsidRDefault="00D10374" w:rsidP="00D10374">
      <w:pPr>
        <w:spacing w:before="120" w:after="120" w:line="276" w:lineRule="auto"/>
        <w:ind w:left="1418"/>
        <w:jc w:val="both"/>
      </w:pPr>
      <w:r>
        <w:rPr>
          <w:rFonts w:cs="Arial"/>
          <w:iCs/>
          <w:color w:val="000000"/>
          <w:sz w:val="20"/>
          <w:szCs w:val="20"/>
        </w:rPr>
        <w:t xml:space="preserve">4.1.2. </w:t>
      </w:r>
      <w:r>
        <w:rPr>
          <w:rFonts w:cs="Arial"/>
          <w:iCs/>
          <w:color w:val="000000"/>
          <w:sz w:val="20"/>
          <w:szCs w:val="20"/>
        </w:rPr>
        <w:tab/>
        <w:t xml:space="preserve">     25% no segundo trimestre;</w:t>
      </w:r>
    </w:p>
    <w:p w:rsidR="00D10374" w:rsidRDefault="00D10374" w:rsidP="00D10374">
      <w:pPr>
        <w:spacing w:before="120" w:after="120" w:line="276" w:lineRule="auto"/>
        <w:ind w:left="1418"/>
        <w:jc w:val="both"/>
      </w:pPr>
      <w:r>
        <w:rPr>
          <w:rFonts w:cs="Arial"/>
          <w:iCs/>
          <w:color w:val="000000"/>
          <w:sz w:val="20"/>
          <w:szCs w:val="20"/>
        </w:rPr>
        <w:t>4.1.3.         25% no terceiro trimestre;</w:t>
      </w:r>
    </w:p>
    <w:p w:rsidR="001E14AF" w:rsidRPr="006A0037" w:rsidRDefault="00D10374" w:rsidP="00D10374">
      <w:pPr>
        <w:spacing w:before="120" w:after="120" w:line="276" w:lineRule="auto"/>
        <w:ind w:left="2268" w:hanging="850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4.1.4.         25% no quarto trimestre;</w:t>
      </w:r>
      <w:r w:rsidR="001E14AF" w:rsidRPr="006A0037">
        <w:rPr>
          <w:rFonts w:cs="Arial"/>
          <w:iCs/>
          <w:color w:val="000000"/>
          <w:sz w:val="20"/>
          <w:szCs w:val="20"/>
        </w:rPr>
        <w:t xml:space="preserve"> 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 xml:space="preserve">Os bens serão recebidos provisoriamente no prazo de </w:t>
      </w:r>
      <w:r w:rsidR="009625A6">
        <w:rPr>
          <w:rFonts w:cs="Arial"/>
          <w:color w:val="000000"/>
          <w:sz w:val="20"/>
          <w:szCs w:val="20"/>
        </w:rPr>
        <w:t xml:space="preserve">15 </w:t>
      </w:r>
      <w:r w:rsidRPr="006A0037">
        <w:rPr>
          <w:rFonts w:cs="Arial"/>
          <w:color w:val="000000"/>
          <w:sz w:val="20"/>
          <w:szCs w:val="20"/>
        </w:rPr>
        <w:t>(</w:t>
      </w:r>
      <w:r w:rsidR="009625A6">
        <w:rPr>
          <w:rFonts w:cs="Arial"/>
          <w:color w:val="000000"/>
          <w:sz w:val="20"/>
          <w:szCs w:val="20"/>
        </w:rPr>
        <w:t>quinze</w:t>
      </w:r>
      <w:r w:rsidRPr="006A0037">
        <w:rPr>
          <w:rFonts w:cs="Arial"/>
          <w:color w:val="000000"/>
          <w:sz w:val="20"/>
          <w:szCs w:val="20"/>
        </w:rPr>
        <w:t xml:space="preserve">) dias, </w:t>
      </w:r>
      <w:proofErr w:type="gramStart"/>
      <w:r w:rsidRPr="006A0037">
        <w:rPr>
          <w:rFonts w:cs="Arial"/>
          <w:color w:val="000000"/>
          <w:sz w:val="20"/>
          <w:szCs w:val="20"/>
        </w:rPr>
        <w:t>pelo(</w:t>
      </w:r>
      <w:proofErr w:type="gramEnd"/>
      <w:r w:rsidRPr="006A0037">
        <w:rPr>
          <w:rFonts w:cs="Arial"/>
          <w:color w:val="000000"/>
          <w:sz w:val="20"/>
          <w:szCs w:val="20"/>
        </w:rPr>
        <w:t xml:space="preserve">a) responsável pelo acompanhamento e fiscalização do contrato, para efeito de posterior verificação de sua conformidade com as especificações constantes neste </w:t>
      </w:r>
      <w:r w:rsidR="008C1AF7" w:rsidRPr="006A0037">
        <w:rPr>
          <w:rFonts w:cs="Arial"/>
          <w:color w:val="000000"/>
          <w:sz w:val="20"/>
          <w:szCs w:val="20"/>
        </w:rPr>
        <w:t>Termo de R</w:t>
      </w:r>
      <w:r w:rsidRPr="006A0037">
        <w:rPr>
          <w:rFonts w:cs="Arial"/>
          <w:color w:val="000000"/>
          <w:sz w:val="20"/>
          <w:szCs w:val="20"/>
        </w:rPr>
        <w:t xml:space="preserve">eferência e na proposta. 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9625A6">
        <w:rPr>
          <w:rFonts w:cs="Arial"/>
          <w:color w:val="000000"/>
          <w:sz w:val="20"/>
          <w:szCs w:val="20"/>
        </w:rPr>
        <w:t xml:space="preserve">15 </w:t>
      </w:r>
      <w:r w:rsidR="009625A6" w:rsidRPr="006A0037">
        <w:rPr>
          <w:rFonts w:cs="Arial"/>
          <w:color w:val="000000"/>
          <w:sz w:val="20"/>
          <w:szCs w:val="20"/>
        </w:rPr>
        <w:t>(</w:t>
      </w:r>
      <w:r w:rsidR="009625A6">
        <w:rPr>
          <w:rFonts w:cs="Arial"/>
          <w:color w:val="000000"/>
          <w:sz w:val="20"/>
          <w:szCs w:val="20"/>
        </w:rPr>
        <w:t>quinze</w:t>
      </w:r>
      <w:r w:rsidR="009625A6" w:rsidRPr="006A0037">
        <w:rPr>
          <w:rFonts w:cs="Arial"/>
          <w:color w:val="000000"/>
          <w:sz w:val="20"/>
          <w:szCs w:val="20"/>
        </w:rPr>
        <w:t>)</w:t>
      </w:r>
      <w:r w:rsidRPr="006A0037">
        <w:rPr>
          <w:rFonts w:cs="Arial"/>
          <w:bCs/>
          <w:color w:val="000000"/>
          <w:sz w:val="20"/>
          <w:szCs w:val="20"/>
        </w:rPr>
        <w:t xml:space="preserve"> dias, a contar da notificação da contratada, às suas custas, sem prejuízo da aplicação das penalidades.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 xml:space="preserve">Os bens serão recebidos definitivamente no prazo de </w:t>
      </w:r>
      <w:r w:rsidR="009625A6">
        <w:rPr>
          <w:rFonts w:cs="Arial"/>
          <w:color w:val="000000"/>
          <w:sz w:val="20"/>
          <w:szCs w:val="20"/>
        </w:rPr>
        <w:t xml:space="preserve">15 </w:t>
      </w:r>
      <w:r w:rsidR="009625A6" w:rsidRPr="006A0037">
        <w:rPr>
          <w:rFonts w:cs="Arial"/>
          <w:color w:val="000000"/>
          <w:sz w:val="20"/>
          <w:szCs w:val="20"/>
        </w:rPr>
        <w:t>(</w:t>
      </w:r>
      <w:r w:rsidR="009625A6">
        <w:rPr>
          <w:rFonts w:cs="Arial"/>
          <w:color w:val="000000"/>
          <w:sz w:val="20"/>
          <w:szCs w:val="20"/>
        </w:rPr>
        <w:t>quinze</w:t>
      </w:r>
      <w:r w:rsidR="009625A6" w:rsidRPr="006A0037">
        <w:rPr>
          <w:rFonts w:cs="Arial"/>
          <w:color w:val="000000"/>
          <w:sz w:val="20"/>
          <w:szCs w:val="20"/>
        </w:rPr>
        <w:t>)</w:t>
      </w:r>
      <w:r w:rsidRPr="006A0037">
        <w:rPr>
          <w:rFonts w:cs="Arial"/>
          <w:color w:val="000000"/>
          <w:sz w:val="20"/>
          <w:szCs w:val="20"/>
        </w:rPr>
        <w:t xml:space="preserve"> dias, contados do recebimento provisório, após a verificação da qualidade e quantidade do material e consequente aceitação mediante termo circunstanciado.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1E14AF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A339C2" w:rsidRDefault="00A339C2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en-US"/>
        </w:rPr>
        <w:t>Os materiais deverão ser acondicionados em embalagens de modo que permita sua perfeita integridade e chegue ao local destinado em perfeitas condições de uso.</w:t>
      </w:r>
    </w:p>
    <w:p w:rsidR="00A339C2" w:rsidRPr="006A0037" w:rsidRDefault="00A339C2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en-US"/>
        </w:rPr>
        <w:t>Os materiais deverão ser transportados em caminhão do tipo fechado, onde os entregadores deverão possuir identificação e vestimentas do tipo que permita a identificação da empresa.</w:t>
      </w:r>
    </w:p>
    <w:p w:rsidR="00E35957" w:rsidRPr="006A0037" w:rsidRDefault="00E35957" w:rsidP="00E35957">
      <w:pPr>
        <w:spacing w:after="120" w:line="276" w:lineRule="auto"/>
        <w:ind w:left="567" w:right="-15"/>
        <w:jc w:val="both"/>
        <w:rPr>
          <w:rFonts w:cs="Arial"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  <w:lang w:eastAsia="en-US"/>
        </w:rPr>
        <w:t>DAS OBRIGAÇÕES DA CONTRATANTE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São obrigações da C</w:t>
      </w:r>
      <w:r w:rsidR="00812ACB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: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receber</w:t>
      </w:r>
      <w:proofErr w:type="gramEnd"/>
      <w:r w:rsidRPr="006A0037">
        <w:rPr>
          <w:rFonts w:cs="Arial"/>
          <w:sz w:val="20"/>
          <w:szCs w:val="20"/>
        </w:rPr>
        <w:t xml:space="preserve"> o objeto no prazo e condições estabelecidas no Edital e seus anexos;</w:t>
      </w:r>
    </w:p>
    <w:p w:rsidR="001E14AF" w:rsidRPr="006A0037" w:rsidRDefault="008C1AF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  <w:lang w:eastAsia="en-US"/>
        </w:rPr>
        <w:t>v</w:t>
      </w:r>
      <w:r w:rsidR="001E14AF" w:rsidRPr="006A0037">
        <w:rPr>
          <w:rFonts w:cs="Arial"/>
          <w:sz w:val="20"/>
          <w:szCs w:val="20"/>
          <w:lang w:eastAsia="en-US"/>
        </w:rPr>
        <w:t>erificar</w:t>
      </w:r>
      <w:proofErr w:type="gramEnd"/>
      <w:r w:rsidR="001E14AF" w:rsidRPr="006A0037">
        <w:rPr>
          <w:rFonts w:cs="Arial"/>
          <w:sz w:val="20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comunicar</w:t>
      </w:r>
      <w:proofErr w:type="gramEnd"/>
      <w:r w:rsidRPr="006A0037">
        <w:rPr>
          <w:rFonts w:cs="Arial"/>
          <w:sz w:val="20"/>
          <w:szCs w:val="20"/>
        </w:rPr>
        <w:t xml:space="preserve"> à </w:t>
      </w:r>
      <w:r w:rsidR="006D3F97" w:rsidRPr="006A0037">
        <w:rPr>
          <w:rFonts w:cs="Arial"/>
          <w:sz w:val="20"/>
          <w:szCs w:val="20"/>
        </w:rPr>
        <w:t>Contratada</w:t>
      </w:r>
      <w:r w:rsidRPr="006A0037">
        <w:rPr>
          <w:rFonts w:cs="Arial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:rsidR="001E14AF" w:rsidRPr="006A0037" w:rsidRDefault="006D3F9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  <w:lang w:eastAsia="en-US"/>
        </w:rPr>
        <w:t>a</w:t>
      </w:r>
      <w:r w:rsidR="001E14AF" w:rsidRPr="006A0037">
        <w:rPr>
          <w:rFonts w:cs="Arial"/>
          <w:sz w:val="20"/>
          <w:szCs w:val="20"/>
          <w:lang w:eastAsia="en-US"/>
        </w:rPr>
        <w:t>companhar</w:t>
      </w:r>
      <w:proofErr w:type="gramEnd"/>
      <w:r w:rsidR="001E14AF" w:rsidRPr="006A0037">
        <w:rPr>
          <w:rFonts w:cs="Arial"/>
          <w:sz w:val="20"/>
          <w:szCs w:val="20"/>
          <w:lang w:eastAsia="en-US"/>
        </w:rPr>
        <w:t xml:space="preserve"> e fiscalizar o cumprimento das obrigações da Contratada, através de </w:t>
      </w:r>
      <w:r w:rsidRPr="006A0037">
        <w:rPr>
          <w:rFonts w:cs="Arial"/>
          <w:sz w:val="20"/>
          <w:szCs w:val="20"/>
          <w:lang w:eastAsia="en-US"/>
        </w:rPr>
        <w:t>comissão/</w:t>
      </w:r>
      <w:r w:rsidR="001E14AF" w:rsidRPr="006A0037">
        <w:rPr>
          <w:rFonts w:cs="Arial"/>
          <w:sz w:val="20"/>
          <w:szCs w:val="20"/>
          <w:lang w:eastAsia="en-US"/>
        </w:rPr>
        <w:t>servidor especialmente designado;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efetuar</w:t>
      </w:r>
      <w:proofErr w:type="gramEnd"/>
      <w:r w:rsidRPr="006A0037">
        <w:rPr>
          <w:rFonts w:cs="Arial"/>
          <w:sz w:val="20"/>
          <w:szCs w:val="20"/>
        </w:rPr>
        <w:t xml:space="preserve"> o pagamento à C</w:t>
      </w:r>
      <w:r w:rsidR="006D3F97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b/>
          <w:sz w:val="20"/>
          <w:szCs w:val="20"/>
        </w:rPr>
        <w:t xml:space="preserve"> </w:t>
      </w:r>
      <w:r w:rsidRPr="006A0037">
        <w:rPr>
          <w:rFonts w:cs="Arial"/>
          <w:sz w:val="20"/>
          <w:szCs w:val="20"/>
        </w:rPr>
        <w:t>no valor correspondente ao fornecimento do objeto, no prazo e forma estabelecidos n</w:t>
      </w:r>
      <w:r w:rsidR="006D3F97" w:rsidRPr="006A0037">
        <w:rPr>
          <w:rFonts w:cs="Arial"/>
          <w:sz w:val="20"/>
          <w:szCs w:val="20"/>
        </w:rPr>
        <w:t>o</w:t>
      </w:r>
      <w:r w:rsidRPr="006A0037">
        <w:rPr>
          <w:rFonts w:cs="Arial"/>
          <w:sz w:val="20"/>
          <w:szCs w:val="20"/>
        </w:rPr>
        <w:t xml:space="preserve"> </w:t>
      </w:r>
      <w:r w:rsidR="006D3F97" w:rsidRPr="006A0037">
        <w:rPr>
          <w:rFonts w:cs="Arial"/>
          <w:sz w:val="20"/>
          <w:szCs w:val="20"/>
        </w:rPr>
        <w:t>Edital e seus anexos;</w:t>
      </w:r>
    </w:p>
    <w:p w:rsidR="001E14AF" w:rsidRPr="006A0037" w:rsidRDefault="00812ACB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lastRenderedPageBreak/>
        <w:t xml:space="preserve">A Administração </w:t>
      </w:r>
      <w:r w:rsidR="001E14AF" w:rsidRPr="006A0037">
        <w:rPr>
          <w:rFonts w:cs="Arial"/>
          <w:sz w:val="20"/>
          <w:szCs w:val="20"/>
        </w:rPr>
        <w:t>não responderá por quaisquer compromissos assumidos pela C</w:t>
      </w:r>
      <w:r w:rsidRPr="006A0037">
        <w:rPr>
          <w:rFonts w:cs="Arial"/>
          <w:sz w:val="20"/>
          <w:szCs w:val="20"/>
        </w:rPr>
        <w:t>ontratada</w:t>
      </w:r>
      <w:r w:rsidR="001E14AF" w:rsidRPr="006A0037">
        <w:rPr>
          <w:rFonts w:cs="Arial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6A0037">
        <w:rPr>
          <w:rFonts w:cs="Arial"/>
          <w:sz w:val="20"/>
          <w:szCs w:val="20"/>
        </w:rPr>
        <w:t>ontratada</w:t>
      </w:r>
      <w:r w:rsidR="001E14AF" w:rsidRPr="006A0037">
        <w:rPr>
          <w:rFonts w:cs="Arial"/>
          <w:sz w:val="20"/>
          <w:szCs w:val="20"/>
        </w:rPr>
        <w:t>, de seus empregados, prepostos ou subordinados.</w:t>
      </w:r>
    </w:p>
    <w:p w:rsidR="00602426" w:rsidRPr="006A0037" w:rsidRDefault="00602426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 xml:space="preserve">A Administração realizará pesquisa de preços periodicamente, em prazo não superior a 180 (cento e oitenta) dias, a fim de verificar a </w:t>
      </w:r>
      <w:proofErr w:type="spellStart"/>
      <w:r w:rsidRPr="006A0037">
        <w:rPr>
          <w:rFonts w:cs="Arial"/>
          <w:color w:val="000000"/>
          <w:sz w:val="20"/>
          <w:szCs w:val="20"/>
        </w:rPr>
        <w:t>vantajosidade</w:t>
      </w:r>
      <w:proofErr w:type="spellEnd"/>
      <w:r w:rsidRPr="006A0037">
        <w:rPr>
          <w:rFonts w:cs="Arial"/>
          <w:color w:val="000000"/>
          <w:sz w:val="20"/>
          <w:szCs w:val="20"/>
        </w:rPr>
        <w:t xml:space="preserve"> dos preços registrados em Ata.</w:t>
      </w:r>
    </w:p>
    <w:p w:rsidR="00E35957" w:rsidRPr="006A0037" w:rsidRDefault="00E35957" w:rsidP="00E35957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OBRIGAÇÕES DA CONTRATADA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A C</w:t>
      </w:r>
      <w:r w:rsidR="00812ACB" w:rsidRPr="006A0037">
        <w:rPr>
          <w:rFonts w:cs="Arial"/>
          <w:sz w:val="20"/>
          <w:szCs w:val="20"/>
        </w:rPr>
        <w:t xml:space="preserve">ontratada </w:t>
      </w:r>
      <w:r w:rsidRPr="006A0037">
        <w:rPr>
          <w:rFonts w:cs="Arial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1249E9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efetuar</w:t>
      </w:r>
      <w:proofErr w:type="gramEnd"/>
      <w:r w:rsidRPr="006A0037">
        <w:rPr>
          <w:rFonts w:cs="Arial"/>
          <w:sz w:val="20"/>
          <w:szCs w:val="20"/>
        </w:rPr>
        <w:t xml:space="preserve"> a entrega do objeto em perfeitas condições, conforme especificações, prazo e local constantes no Edital e seus anexos, acompanhado da respectiva nota fiscal, na qual constarão as indicações referentes a: </w:t>
      </w:r>
      <w:r w:rsidRPr="001249E9">
        <w:rPr>
          <w:rFonts w:cs="Arial"/>
          <w:sz w:val="20"/>
          <w:szCs w:val="20"/>
        </w:rPr>
        <w:t>marca, fabricante, modelo, prazo de validade;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responsabilizar</w:t>
      </w:r>
      <w:proofErr w:type="gramEnd"/>
      <w:r w:rsidRPr="006A0037">
        <w:rPr>
          <w:rFonts w:cs="Arial"/>
          <w:sz w:val="20"/>
          <w:szCs w:val="20"/>
        </w:rPr>
        <w:t>-se pelos vícios e danos decorrentes do objeto, de acordo com os artigos 12, 13</w:t>
      </w:r>
      <w:r w:rsidR="006E0448" w:rsidRPr="006A0037">
        <w:rPr>
          <w:rFonts w:cs="Arial"/>
          <w:sz w:val="20"/>
          <w:szCs w:val="20"/>
        </w:rPr>
        <w:t xml:space="preserve"> e</w:t>
      </w:r>
      <w:r w:rsidRPr="006A0037">
        <w:rPr>
          <w:rFonts w:cs="Arial"/>
          <w:sz w:val="20"/>
          <w:szCs w:val="20"/>
        </w:rPr>
        <w:t xml:space="preserve"> 1</w:t>
      </w:r>
      <w:r w:rsidR="006E0448" w:rsidRPr="006A0037">
        <w:rPr>
          <w:rFonts w:cs="Arial"/>
          <w:sz w:val="20"/>
          <w:szCs w:val="20"/>
        </w:rPr>
        <w:t>7</w:t>
      </w:r>
      <w:r w:rsidRPr="006A0037">
        <w:rPr>
          <w:rFonts w:cs="Arial"/>
          <w:sz w:val="20"/>
          <w:szCs w:val="20"/>
        </w:rPr>
        <w:t xml:space="preserve"> a 27, do Código de Defesa do Consumidor (Lei nº 8.078, de 1990);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substituir</w:t>
      </w:r>
      <w:proofErr w:type="gramEnd"/>
      <w:r w:rsidRPr="006A0037">
        <w:rPr>
          <w:rFonts w:cs="Arial"/>
          <w:sz w:val="20"/>
          <w:szCs w:val="20"/>
        </w:rPr>
        <w:t>, reparar ou corrigir, às suas expensas, no prazo fixado neste Termo de Referência, o objeto com avarias ou defeitos;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comunicar</w:t>
      </w:r>
      <w:proofErr w:type="gramEnd"/>
      <w:r w:rsidRPr="006A0037">
        <w:rPr>
          <w:rFonts w:cs="Arial"/>
          <w:sz w:val="20"/>
          <w:szCs w:val="20"/>
        </w:rPr>
        <w:t xml:space="preserve"> à C</w:t>
      </w:r>
      <w:r w:rsidR="00812ACB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manter</w:t>
      </w:r>
      <w:proofErr w:type="gramEnd"/>
      <w:r w:rsidRPr="006A0037">
        <w:rPr>
          <w:rFonts w:cs="Arial"/>
          <w:sz w:val="20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indicar</w:t>
      </w:r>
      <w:proofErr w:type="gramEnd"/>
      <w:r w:rsidRPr="006A0037">
        <w:rPr>
          <w:rFonts w:cs="Arial"/>
          <w:sz w:val="20"/>
          <w:szCs w:val="20"/>
        </w:rPr>
        <w:t xml:space="preserve"> preposto para representá-la durante a execução do contrato.</w:t>
      </w:r>
    </w:p>
    <w:p w:rsidR="00DB11A0" w:rsidRPr="006A0037" w:rsidRDefault="00DB11A0" w:rsidP="00DB11A0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DA SUBCONTRATAÇÃO</w:t>
      </w:r>
    </w:p>
    <w:p w:rsidR="001E14AF" w:rsidRPr="001249E9" w:rsidRDefault="00DB11A0" w:rsidP="001249E9">
      <w:pPr>
        <w:pStyle w:val="PargrafodaLista"/>
        <w:numPr>
          <w:ilvl w:val="1"/>
          <w:numId w:val="1"/>
        </w:numPr>
        <w:spacing w:before="120" w:after="120" w:line="276" w:lineRule="auto"/>
        <w:ind w:left="426" w:firstLine="0"/>
        <w:jc w:val="both"/>
        <w:rPr>
          <w:rFonts w:cs="Arial"/>
          <w:sz w:val="20"/>
          <w:szCs w:val="20"/>
        </w:rPr>
      </w:pPr>
      <w:r w:rsidRPr="001249E9">
        <w:rPr>
          <w:rFonts w:cs="Arial"/>
          <w:sz w:val="20"/>
          <w:szCs w:val="20"/>
        </w:rPr>
        <w:t xml:space="preserve"> </w:t>
      </w:r>
      <w:r w:rsidR="001E14AF" w:rsidRPr="001249E9">
        <w:rPr>
          <w:rFonts w:cs="Arial"/>
          <w:sz w:val="20"/>
          <w:szCs w:val="20"/>
        </w:rPr>
        <w:t>Não será admitida a subcontratação do objeto licitatório.</w:t>
      </w:r>
    </w:p>
    <w:p w:rsidR="00470D04" w:rsidRPr="006A0037" w:rsidRDefault="00470D04" w:rsidP="00470D04">
      <w:pPr>
        <w:spacing w:before="120" w:after="120" w:line="276" w:lineRule="auto"/>
        <w:ind w:left="425"/>
        <w:jc w:val="both"/>
        <w:rPr>
          <w:rFonts w:cs="Arial"/>
          <w:color w:val="000000"/>
          <w:sz w:val="20"/>
          <w:szCs w:val="20"/>
          <w:lang w:eastAsia="en-US"/>
        </w:rPr>
      </w:pPr>
    </w:p>
    <w:p w:rsidR="00DE56FD" w:rsidRPr="006A0037" w:rsidRDefault="00DE56FD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6A0037">
        <w:rPr>
          <w:rFonts w:cs="Arial"/>
          <w:b/>
          <w:color w:val="000000"/>
          <w:sz w:val="20"/>
          <w:szCs w:val="20"/>
          <w:lang w:eastAsia="en-US"/>
        </w:rPr>
        <w:t>ALTERAÇÃO SUBJETIVA</w:t>
      </w:r>
    </w:p>
    <w:p w:rsidR="00862733" w:rsidRPr="006A0037" w:rsidRDefault="00862733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  <w:lang w:eastAsia="en-US"/>
        </w:rPr>
      </w:pPr>
      <w:r w:rsidRPr="006A0037">
        <w:rPr>
          <w:rFonts w:cs="Arial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470D04" w:rsidRPr="006A0037" w:rsidRDefault="00470D04" w:rsidP="00470D04">
      <w:pPr>
        <w:spacing w:before="120" w:after="120" w:line="276" w:lineRule="auto"/>
        <w:ind w:left="425"/>
        <w:jc w:val="both"/>
        <w:rPr>
          <w:rFonts w:cs="Arial"/>
          <w:sz w:val="20"/>
          <w:szCs w:val="20"/>
          <w:lang w:eastAsia="en-US"/>
        </w:rPr>
      </w:pPr>
    </w:p>
    <w:p w:rsidR="001E14AF" w:rsidRPr="006A003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6A0037">
        <w:rPr>
          <w:rFonts w:cs="Arial"/>
          <w:b/>
          <w:color w:val="000000"/>
          <w:sz w:val="20"/>
          <w:szCs w:val="20"/>
          <w:lang w:eastAsia="en-US"/>
        </w:rPr>
        <w:t>CONTROLE DA EXECUÇÃO</w:t>
      </w:r>
    </w:p>
    <w:p w:rsidR="009A1099" w:rsidRPr="006A0037" w:rsidRDefault="009A1099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6A0037" w:rsidRDefault="009A1099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lastRenderedPageBreak/>
        <w:t xml:space="preserve">O recebimento de material de valor superior a R$ 80.000,00 (oitenta mil reais) será confiado a uma comissão de, no mínimo, </w:t>
      </w:r>
      <w:proofErr w:type="gramStart"/>
      <w:r w:rsidRPr="006A0037">
        <w:rPr>
          <w:rFonts w:cs="Arial"/>
          <w:color w:val="000000"/>
          <w:sz w:val="20"/>
          <w:szCs w:val="20"/>
          <w:lang w:eastAsia="en-US"/>
        </w:rPr>
        <w:t>3</w:t>
      </w:r>
      <w:proofErr w:type="gramEnd"/>
      <w:r w:rsidRPr="006A0037">
        <w:rPr>
          <w:rFonts w:cs="Arial"/>
          <w:color w:val="000000"/>
          <w:sz w:val="20"/>
          <w:szCs w:val="20"/>
          <w:lang w:eastAsia="en-US"/>
        </w:rPr>
        <w:t xml:space="preserve"> (três) membros, designados pela autoridade competente.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  <w:lang w:eastAsia="en-US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6A0037">
        <w:rPr>
          <w:rFonts w:cs="Arial"/>
          <w:color w:val="000000"/>
          <w:sz w:val="20"/>
          <w:szCs w:val="20"/>
        </w:rPr>
        <w:t>responsabilidade</w:t>
      </w:r>
      <w:r w:rsidRPr="006A0037">
        <w:rPr>
          <w:rFonts w:cs="Arial"/>
          <w:color w:val="000000"/>
          <w:sz w:val="20"/>
          <w:szCs w:val="20"/>
          <w:lang w:eastAsia="en-US"/>
        </w:rPr>
        <w:t xml:space="preserve"> da 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>Contratada</w:t>
      </w:r>
      <w:r w:rsidRPr="006A0037">
        <w:rPr>
          <w:rFonts w:cs="Arial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 xml:space="preserve"> ou vícios redibitórios, </w:t>
      </w:r>
      <w:r w:rsidRPr="006A0037">
        <w:rPr>
          <w:rFonts w:cs="Arial"/>
          <w:color w:val="000000"/>
          <w:sz w:val="20"/>
          <w:szCs w:val="20"/>
          <w:lang w:eastAsia="en-US"/>
        </w:rPr>
        <w:t>e, na ocorrência desta, não implica em co-responsabilidade da Administração ou de seus agentes e prepostos, de conformidade com o art. 70 da Lei nº 8.666, de 1993.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 xml:space="preserve">O 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 xml:space="preserve">representante da Administração </w:t>
      </w:r>
      <w:r w:rsidRPr="006A0037">
        <w:rPr>
          <w:rFonts w:cs="Arial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6A0037">
        <w:rPr>
          <w:rFonts w:cs="Arial"/>
          <w:color w:val="000000"/>
          <w:sz w:val="20"/>
          <w:szCs w:val="20"/>
          <w:lang w:eastAsia="en-US"/>
        </w:rPr>
        <w:t>larização das falhas</w:t>
      </w:r>
      <w:r w:rsidRPr="006A0037">
        <w:rPr>
          <w:rFonts w:cs="Arial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:rsidR="00264A8C" w:rsidRPr="006A0037" w:rsidRDefault="00264A8C" w:rsidP="00264A8C">
      <w:pPr>
        <w:spacing w:after="120" w:line="276" w:lineRule="auto"/>
        <w:ind w:left="540" w:right="-17"/>
        <w:jc w:val="both"/>
        <w:rPr>
          <w:rFonts w:cs="Arial"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DAS SANÇÕES ADMINISTRATIVAS</w:t>
      </w:r>
    </w:p>
    <w:p w:rsidR="005E49C0" w:rsidRPr="005E49C0" w:rsidRDefault="005E49C0" w:rsidP="005E49C0">
      <w:pPr>
        <w:pStyle w:val="PargrafodaLista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E49C0">
        <w:rPr>
          <w:rFonts w:cs="Arial"/>
          <w:sz w:val="20"/>
          <w:szCs w:val="20"/>
        </w:rPr>
        <w:t>Comete infração administrativa nos termos da Lei nº 8.666, de 1993 e da Lei nº 10.520, de 2002, a Contratada que: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spellStart"/>
      <w:proofErr w:type="gramStart"/>
      <w:r w:rsidRPr="005E49C0">
        <w:rPr>
          <w:rFonts w:cs="Arial"/>
          <w:sz w:val="20"/>
          <w:szCs w:val="20"/>
        </w:rPr>
        <w:t>inexecutar</w:t>
      </w:r>
      <w:proofErr w:type="spellEnd"/>
      <w:proofErr w:type="gramEnd"/>
      <w:r w:rsidRPr="005E49C0">
        <w:rPr>
          <w:rFonts w:cs="Arial"/>
          <w:sz w:val="20"/>
          <w:szCs w:val="20"/>
        </w:rPr>
        <w:t xml:space="preserve"> total ou parcialmente qualquer das obrigações assumidas em decorrência da contratação;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5E49C0">
        <w:rPr>
          <w:rFonts w:cs="Arial"/>
          <w:sz w:val="20"/>
          <w:szCs w:val="20"/>
        </w:rPr>
        <w:t>ensejar</w:t>
      </w:r>
      <w:proofErr w:type="gramEnd"/>
      <w:r w:rsidRPr="005E49C0">
        <w:rPr>
          <w:rFonts w:cs="Arial"/>
          <w:sz w:val="20"/>
          <w:szCs w:val="20"/>
        </w:rPr>
        <w:t xml:space="preserve"> o retardamento da execução do objeto;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5E49C0">
        <w:rPr>
          <w:rFonts w:cs="Arial"/>
          <w:sz w:val="20"/>
          <w:szCs w:val="20"/>
        </w:rPr>
        <w:t>fraudar</w:t>
      </w:r>
      <w:proofErr w:type="gramEnd"/>
      <w:r w:rsidRPr="005E49C0">
        <w:rPr>
          <w:rFonts w:cs="Arial"/>
          <w:sz w:val="20"/>
          <w:szCs w:val="20"/>
        </w:rPr>
        <w:t xml:space="preserve"> na execução do contrato;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5E49C0">
        <w:rPr>
          <w:rFonts w:cs="Arial"/>
          <w:sz w:val="20"/>
          <w:szCs w:val="20"/>
        </w:rPr>
        <w:t>comportar</w:t>
      </w:r>
      <w:proofErr w:type="gramEnd"/>
      <w:r w:rsidRPr="005E49C0">
        <w:rPr>
          <w:rFonts w:cs="Arial"/>
          <w:sz w:val="20"/>
          <w:szCs w:val="20"/>
        </w:rPr>
        <w:t>-se de modo inidôneo;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5E49C0">
        <w:rPr>
          <w:rFonts w:cs="Arial"/>
          <w:sz w:val="20"/>
          <w:szCs w:val="20"/>
        </w:rPr>
        <w:t>cometer</w:t>
      </w:r>
      <w:proofErr w:type="gramEnd"/>
      <w:r w:rsidRPr="005E49C0">
        <w:rPr>
          <w:rFonts w:cs="Arial"/>
          <w:sz w:val="20"/>
          <w:szCs w:val="20"/>
        </w:rPr>
        <w:t xml:space="preserve"> fraude fiscal;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5E49C0">
        <w:rPr>
          <w:rFonts w:cs="Arial"/>
          <w:sz w:val="20"/>
          <w:szCs w:val="20"/>
        </w:rPr>
        <w:t>não</w:t>
      </w:r>
      <w:proofErr w:type="gramEnd"/>
      <w:r w:rsidRPr="005E49C0">
        <w:rPr>
          <w:rFonts w:cs="Arial"/>
          <w:sz w:val="20"/>
          <w:szCs w:val="20"/>
        </w:rPr>
        <w:t xml:space="preserve"> mantiver a proposta.</w:t>
      </w:r>
    </w:p>
    <w:p w:rsidR="005E49C0" w:rsidRPr="005E49C0" w:rsidRDefault="005E49C0" w:rsidP="005E49C0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5E49C0">
        <w:rPr>
          <w:rFonts w:cs="Arial"/>
          <w:sz w:val="20"/>
          <w:szCs w:val="20"/>
        </w:rPr>
        <w:t>A Contratada que cometer qualquer das infrações discriminadas no subitem acima ficará sujeita, sem prejuízo da responsabilidade civil e criminal, às seguintes sanções: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r w:rsidRPr="005E49C0">
        <w:rPr>
          <w:rFonts w:cs="Arial"/>
          <w:iCs/>
          <w:sz w:val="20"/>
          <w:szCs w:val="20"/>
        </w:rPr>
        <w:t>Advertência por: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proofErr w:type="gramStart"/>
      <w:r w:rsidRPr="005E49C0">
        <w:rPr>
          <w:rFonts w:cs="Arial"/>
          <w:sz w:val="20"/>
          <w:szCs w:val="20"/>
        </w:rPr>
        <w:t>atraso</w:t>
      </w:r>
      <w:proofErr w:type="gramEnd"/>
      <w:r w:rsidRPr="005E49C0">
        <w:rPr>
          <w:rFonts w:cs="Arial"/>
          <w:sz w:val="20"/>
          <w:szCs w:val="20"/>
        </w:rPr>
        <w:t xml:space="preserve"> de até 5 (cinco) dias no fornecimento do(s) item(</w:t>
      </w:r>
      <w:proofErr w:type="spellStart"/>
      <w:r w:rsidRPr="005E49C0">
        <w:rPr>
          <w:rFonts w:cs="Arial"/>
          <w:sz w:val="20"/>
          <w:szCs w:val="20"/>
        </w:rPr>
        <w:t>ns</w:t>
      </w:r>
      <w:proofErr w:type="spellEnd"/>
      <w:r w:rsidRPr="005E49C0">
        <w:rPr>
          <w:rFonts w:cs="Arial"/>
          <w:sz w:val="20"/>
          <w:szCs w:val="20"/>
        </w:rPr>
        <w:t>), ou na sua substituição quando o fornecimento ocorrer fora das</w:t>
      </w:r>
      <w:r w:rsidRPr="005E49C0">
        <w:rPr>
          <w:rFonts w:cs="Arial"/>
          <w:iCs/>
          <w:sz w:val="20"/>
          <w:szCs w:val="20"/>
        </w:rPr>
        <w:t xml:space="preserve"> especificações e/ou condições predeterminadas ou por defeito superveniente imputável ao contratado, contado a partir do primeiro dia útil subsequente ao término do prazo previsto para entrega do objeto; 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r w:rsidRPr="005E49C0">
        <w:rPr>
          <w:rFonts w:cs="Arial"/>
          <w:iCs/>
          <w:sz w:val="20"/>
          <w:szCs w:val="20"/>
        </w:rPr>
        <w:t>Multa: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proofErr w:type="gramStart"/>
      <w:r w:rsidRPr="005E49C0">
        <w:rPr>
          <w:rFonts w:cs="Arial"/>
          <w:iCs/>
          <w:sz w:val="20"/>
          <w:szCs w:val="20"/>
        </w:rPr>
        <w:t>multa</w:t>
      </w:r>
      <w:proofErr w:type="gramEnd"/>
      <w:r w:rsidRPr="005E49C0">
        <w:rPr>
          <w:rFonts w:cs="Arial"/>
          <w:iCs/>
          <w:sz w:val="20"/>
          <w:szCs w:val="20"/>
        </w:rPr>
        <w:t xml:space="preserve"> moratória diária de 0,25% (zero vírgula vinte e cinco por cento) a partir do sexto dia de atraso, sobre o valor total do(s) item(</w:t>
      </w:r>
      <w:proofErr w:type="spellStart"/>
      <w:r w:rsidRPr="005E49C0">
        <w:rPr>
          <w:rFonts w:cs="Arial"/>
          <w:iCs/>
          <w:sz w:val="20"/>
          <w:szCs w:val="20"/>
        </w:rPr>
        <w:t>ns</w:t>
      </w:r>
      <w:proofErr w:type="spellEnd"/>
      <w:r w:rsidRPr="005E49C0">
        <w:rPr>
          <w:rFonts w:cs="Arial"/>
          <w:iCs/>
          <w:sz w:val="20"/>
          <w:szCs w:val="20"/>
        </w:rPr>
        <w:t>) contratado(s), até o limite de180 (cento e oitenta) dias;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proofErr w:type="gramStart"/>
      <w:r w:rsidRPr="005E49C0">
        <w:rPr>
          <w:rFonts w:cs="Arial"/>
          <w:iCs/>
          <w:sz w:val="20"/>
          <w:szCs w:val="20"/>
        </w:rPr>
        <w:t>multa</w:t>
      </w:r>
      <w:proofErr w:type="gramEnd"/>
      <w:r w:rsidRPr="005E49C0">
        <w:rPr>
          <w:rFonts w:cs="Arial"/>
          <w:iCs/>
          <w:sz w:val="20"/>
          <w:szCs w:val="20"/>
        </w:rPr>
        <w:t xml:space="preserve"> compensatória de 10% (dez por cento) em caso de inexecução parcial, a partir do 181º dia de atraso, ou na sua substituição, total ou parcial, quando o fornecimento ocorrer fora das especificações e/ou condições predeterminadas ou por defeito superveniente imputável ao contratado, ensejando, se couber, a anulação do empenho, a rescisão do contrato e o cancelamento da ata de registro de preços;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proofErr w:type="gramStart"/>
      <w:r w:rsidRPr="005E49C0">
        <w:rPr>
          <w:rFonts w:cs="Arial"/>
          <w:iCs/>
          <w:sz w:val="20"/>
          <w:szCs w:val="20"/>
        </w:rPr>
        <w:t>multa</w:t>
      </w:r>
      <w:proofErr w:type="gramEnd"/>
      <w:r w:rsidRPr="005E49C0">
        <w:rPr>
          <w:rFonts w:cs="Arial"/>
          <w:iCs/>
          <w:sz w:val="20"/>
          <w:szCs w:val="20"/>
        </w:rPr>
        <w:t xml:space="preserve"> compensatória de 20% (vinte por cento) sobre o valor total do contrato, no caso de inexecução total do objeto;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proofErr w:type="gramStart"/>
      <w:r w:rsidRPr="005E49C0">
        <w:rPr>
          <w:rFonts w:cs="Arial"/>
          <w:iCs/>
          <w:sz w:val="20"/>
          <w:szCs w:val="20"/>
        </w:rPr>
        <w:lastRenderedPageBreak/>
        <w:t>as</w:t>
      </w:r>
      <w:proofErr w:type="gramEnd"/>
      <w:r w:rsidRPr="005E49C0">
        <w:rPr>
          <w:rFonts w:cs="Arial"/>
          <w:iCs/>
          <w:sz w:val="20"/>
          <w:szCs w:val="20"/>
        </w:rPr>
        <w:t xml:space="preserve"> multas serão recolhidas no prazo de 5 dias úteis após a notificação, por meio de GRU. Não surtindo resultado, poderá ser convertida em impedimento de licitar e contratar com a União, Estados, Distrito Federal ou Municípios pelo prazo de até </w:t>
      </w:r>
      <w:proofErr w:type="gramStart"/>
      <w:r w:rsidRPr="005E49C0">
        <w:rPr>
          <w:rFonts w:cs="Arial"/>
          <w:iCs/>
          <w:sz w:val="20"/>
          <w:szCs w:val="20"/>
        </w:rPr>
        <w:t>5</w:t>
      </w:r>
      <w:proofErr w:type="gramEnd"/>
      <w:r w:rsidRPr="005E49C0">
        <w:rPr>
          <w:rFonts w:cs="Arial"/>
          <w:iCs/>
          <w:sz w:val="20"/>
          <w:szCs w:val="20"/>
        </w:rPr>
        <w:t xml:space="preserve"> (cinco) anos, conforme preceitua o art. 7º da Lei nº 10.520/2002, a ser apurado e decidido em processo administrativo;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r w:rsidRPr="005E49C0">
        <w:rPr>
          <w:rFonts w:cs="Arial"/>
          <w:iCs/>
          <w:sz w:val="20"/>
          <w:szCs w:val="20"/>
        </w:rPr>
        <w:t xml:space="preserve">Suspensão de licitar com o órgão, entidade ou unidade administrativa pela qual a Administração Pública opera e atua concretamente, pelo prazo de até </w:t>
      </w:r>
      <w:proofErr w:type="gramStart"/>
      <w:r w:rsidRPr="005E49C0">
        <w:rPr>
          <w:rFonts w:cs="Arial"/>
          <w:iCs/>
          <w:sz w:val="20"/>
          <w:szCs w:val="20"/>
        </w:rPr>
        <w:t>2</w:t>
      </w:r>
      <w:proofErr w:type="gramEnd"/>
      <w:r w:rsidRPr="005E49C0">
        <w:rPr>
          <w:rFonts w:cs="Arial"/>
          <w:iCs/>
          <w:sz w:val="20"/>
          <w:szCs w:val="20"/>
        </w:rPr>
        <w:t xml:space="preserve"> (dois) anos, no caso de inexecução parcial do contrato, a ser apurado e decidido em processo administrativo;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r w:rsidRPr="005E49C0">
        <w:rPr>
          <w:rFonts w:cs="Arial"/>
          <w:iCs/>
          <w:sz w:val="20"/>
          <w:szCs w:val="20"/>
        </w:rPr>
        <w:t xml:space="preserve">Poderá ser aplicada suspensão temporária do direito de participar em licitação ou impedimento de contratar com a entidade licitante e descredenciamento no SICAF, por prazo não superior a </w:t>
      </w:r>
      <w:proofErr w:type="gramStart"/>
      <w:r w:rsidRPr="005E49C0">
        <w:rPr>
          <w:rFonts w:cs="Arial"/>
          <w:iCs/>
          <w:sz w:val="20"/>
          <w:szCs w:val="20"/>
        </w:rPr>
        <w:t>2</w:t>
      </w:r>
      <w:proofErr w:type="gramEnd"/>
      <w:r w:rsidRPr="005E49C0">
        <w:rPr>
          <w:rFonts w:cs="Arial"/>
          <w:iCs/>
          <w:sz w:val="20"/>
          <w:szCs w:val="20"/>
        </w:rPr>
        <w:t xml:space="preserve"> (dois) anos, diante de caso de reiteração de mesmo comportamento já punido ou omissão de providências para reparação de erros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r w:rsidRPr="005E49C0">
        <w:rPr>
          <w:rFonts w:cs="Arial"/>
          <w:iCs/>
          <w:sz w:val="20"/>
          <w:szCs w:val="20"/>
        </w:rPr>
        <w:t xml:space="preserve">Impedimento de licitar e contratar com a União com o consequente descredenciamento no SICAF, sem prejuízo da multa e das cominações legais, nos casos de: 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proofErr w:type="gramStart"/>
      <w:r w:rsidRPr="005E49C0">
        <w:rPr>
          <w:rFonts w:cs="Arial"/>
          <w:iCs/>
          <w:sz w:val="20"/>
          <w:szCs w:val="20"/>
        </w:rPr>
        <w:t>ensejar</w:t>
      </w:r>
      <w:proofErr w:type="gramEnd"/>
      <w:r w:rsidRPr="005E49C0">
        <w:rPr>
          <w:rFonts w:cs="Arial"/>
          <w:iCs/>
          <w:sz w:val="20"/>
          <w:szCs w:val="20"/>
        </w:rPr>
        <w:t xml:space="preserve"> retardamento da execução de seu objeto: entre 2 (dois) anos e 2 (dois) anos e 6 (seis) meses;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proofErr w:type="gramStart"/>
      <w:r w:rsidRPr="005E49C0">
        <w:rPr>
          <w:rFonts w:cs="Arial"/>
          <w:iCs/>
          <w:sz w:val="20"/>
          <w:szCs w:val="20"/>
        </w:rPr>
        <w:t>não</w:t>
      </w:r>
      <w:proofErr w:type="gramEnd"/>
      <w:r w:rsidRPr="005E49C0">
        <w:rPr>
          <w:rFonts w:cs="Arial"/>
          <w:iCs/>
          <w:sz w:val="20"/>
          <w:szCs w:val="20"/>
        </w:rPr>
        <w:t xml:space="preserve"> mantiver a proposta, falhar ou fraudar na execução do contrato: entre 2 (dois) anos e 6 (seis) meses e 4 (quatro) anos;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proofErr w:type="gramStart"/>
      <w:r w:rsidRPr="005E49C0">
        <w:rPr>
          <w:rFonts w:cs="Arial"/>
          <w:iCs/>
          <w:sz w:val="20"/>
          <w:szCs w:val="20"/>
        </w:rPr>
        <w:t>não</w:t>
      </w:r>
      <w:proofErr w:type="gramEnd"/>
      <w:r w:rsidRPr="005E49C0">
        <w:rPr>
          <w:rFonts w:cs="Arial"/>
          <w:iCs/>
          <w:sz w:val="20"/>
          <w:szCs w:val="20"/>
        </w:rPr>
        <w:t xml:space="preserve"> executar os serviços ou entrega de material objeto da licitação: 5 (cinco) anos;</w:t>
      </w:r>
    </w:p>
    <w:p w:rsidR="005E49C0" w:rsidRPr="005E49C0" w:rsidRDefault="005E49C0" w:rsidP="005E49C0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 w:val="20"/>
          <w:szCs w:val="20"/>
        </w:rPr>
      </w:pPr>
      <w:proofErr w:type="gramStart"/>
      <w:r w:rsidRPr="005E49C0">
        <w:rPr>
          <w:rFonts w:cs="Arial"/>
          <w:iCs/>
          <w:sz w:val="20"/>
          <w:szCs w:val="20"/>
        </w:rPr>
        <w:t>comportar</w:t>
      </w:r>
      <w:proofErr w:type="gramEnd"/>
      <w:r w:rsidRPr="005E49C0">
        <w:rPr>
          <w:rFonts w:cs="Arial"/>
          <w:iCs/>
          <w:sz w:val="20"/>
          <w:szCs w:val="20"/>
        </w:rPr>
        <w:t>-se de modo inidôneo ou cometer fraude fiscal: até 5 (cinco) anos;</w:t>
      </w:r>
    </w:p>
    <w:p w:rsidR="005E49C0" w:rsidRPr="005E49C0" w:rsidRDefault="005E49C0" w:rsidP="005E49C0">
      <w:pPr>
        <w:numPr>
          <w:ilvl w:val="4"/>
          <w:numId w:val="1"/>
        </w:numPr>
        <w:spacing w:before="120" w:after="120" w:line="276" w:lineRule="auto"/>
        <w:jc w:val="both"/>
        <w:rPr>
          <w:rFonts w:cs="Arial"/>
          <w:iCs/>
          <w:sz w:val="20"/>
          <w:szCs w:val="20"/>
        </w:rPr>
      </w:pPr>
      <w:r w:rsidRPr="005E49C0">
        <w:rPr>
          <w:rFonts w:cs="Arial"/>
          <w:iCs/>
          <w:sz w:val="20"/>
          <w:szCs w:val="20"/>
        </w:rPr>
        <w:t xml:space="preserve">O licitante ficará sujeito, sem prejuízo da responsabilidade civil (indenização por danos morais) e criminal (detenção de </w:t>
      </w:r>
      <w:proofErr w:type="gramStart"/>
      <w:r w:rsidRPr="005E49C0">
        <w:rPr>
          <w:rFonts w:cs="Arial"/>
          <w:iCs/>
          <w:sz w:val="20"/>
          <w:szCs w:val="20"/>
        </w:rPr>
        <w:t>6</w:t>
      </w:r>
      <w:proofErr w:type="gramEnd"/>
      <w:r w:rsidRPr="005E49C0">
        <w:rPr>
          <w:rFonts w:cs="Arial"/>
          <w:iCs/>
          <w:sz w:val="20"/>
          <w:szCs w:val="20"/>
        </w:rPr>
        <w:t xml:space="preserve"> meses a 2 anos e multa art. 138 do Código Penal), à sanção de impedimento de licitar, pelo prazo de até 05 anos, se ocasionar eventos que denigram ou caluniem equipe técnica e pregoeiro, bem como pessoas que as integram, inclusive em razão de denúncias sob a acusação de direcionamento de certame, sem a apresentação de provas pertinentes, ou a apresentação de provas infundadas, na sessão do certame (via chat, email, telefone ou outros meios) e/ou em processo administrativo instaurado.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iCs/>
          <w:sz w:val="20"/>
          <w:szCs w:val="20"/>
        </w:rPr>
      </w:pPr>
      <w:r w:rsidRPr="005E49C0">
        <w:rPr>
          <w:rFonts w:cs="Arial"/>
          <w:iCs/>
          <w:sz w:val="20"/>
          <w:szCs w:val="20"/>
        </w:rPr>
        <w:t>Casos fortuitos, omissos ou de força maior serão avaliados e decididos pela Comissão de Penalidades de acordo com o grau da infração cometida.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iCs/>
          <w:sz w:val="20"/>
          <w:szCs w:val="20"/>
        </w:rPr>
      </w:pPr>
      <w:r w:rsidRPr="005E49C0">
        <w:rPr>
          <w:rFonts w:cs="Arial"/>
          <w:iCs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iCs/>
          <w:sz w:val="20"/>
          <w:szCs w:val="20"/>
        </w:rPr>
      </w:pPr>
      <w:r w:rsidRPr="005E49C0">
        <w:rPr>
          <w:rFonts w:cs="Arial"/>
          <w:iCs/>
          <w:sz w:val="20"/>
          <w:szCs w:val="20"/>
        </w:rPr>
        <w:t>Para fins de dosagem da sanção, serão avaliados a gravidade da infração e os antecedentes do fornecedor no âmbito da Administração Pública Federal.</w:t>
      </w:r>
    </w:p>
    <w:p w:rsidR="005E49C0" w:rsidRPr="005E49C0" w:rsidRDefault="005E49C0" w:rsidP="005E49C0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5E49C0">
        <w:rPr>
          <w:rFonts w:cs="Arial"/>
          <w:sz w:val="20"/>
          <w:szCs w:val="20"/>
        </w:rPr>
        <w:t xml:space="preserve">Também </w:t>
      </w:r>
      <w:proofErr w:type="gramStart"/>
      <w:r w:rsidRPr="005E49C0">
        <w:rPr>
          <w:rFonts w:cs="Arial"/>
          <w:sz w:val="20"/>
          <w:szCs w:val="20"/>
        </w:rPr>
        <w:t>ficam</w:t>
      </w:r>
      <w:proofErr w:type="gramEnd"/>
      <w:r w:rsidRPr="005E49C0">
        <w:rPr>
          <w:rFonts w:cs="Arial"/>
          <w:sz w:val="20"/>
          <w:szCs w:val="20"/>
        </w:rPr>
        <w:t xml:space="preserve"> sujeitas às penalidades do art. 87, III e IV da Lei nº 8.666, de 1993, as empresas e os profissionais que: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5E49C0">
        <w:rPr>
          <w:rFonts w:cs="Arial"/>
          <w:sz w:val="20"/>
          <w:szCs w:val="20"/>
        </w:rPr>
        <w:t>tenham</w:t>
      </w:r>
      <w:proofErr w:type="gramEnd"/>
      <w:r w:rsidRPr="005E49C0">
        <w:rPr>
          <w:rFonts w:cs="Arial"/>
          <w:sz w:val="20"/>
          <w:szCs w:val="20"/>
        </w:rPr>
        <w:t xml:space="preserve"> sofrido condenação definitiva por praticar, por meio dolosos, fraude fiscal no recolhimento de quaisquer tributos;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5E49C0">
        <w:rPr>
          <w:rFonts w:cs="Arial"/>
          <w:sz w:val="20"/>
          <w:szCs w:val="20"/>
        </w:rPr>
        <w:lastRenderedPageBreak/>
        <w:t>tenham</w:t>
      </w:r>
      <w:proofErr w:type="gramEnd"/>
      <w:r w:rsidRPr="005E49C0">
        <w:rPr>
          <w:rFonts w:cs="Arial"/>
          <w:sz w:val="20"/>
          <w:szCs w:val="20"/>
        </w:rPr>
        <w:t xml:space="preserve"> praticado atos ilícitos visando a frustrar os objetivos da licitação;</w:t>
      </w:r>
    </w:p>
    <w:p w:rsidR="005E49C0" w:rsidRPr="005E49C0" w:rsidRDefault="005E49C0" w:rsidP="005E49C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5E49C0">
        <w:rPr>
          <w:rFonts w:cs="Arial"/>
          <w:sz w:val="20"/>
          <w:szCs w:val="20"/>
        </w:rPr>
        <w:t>demonstrem</w:t>
      </w:r>
      <w:proofErr w:type="gramEnd"/>
      <w:r w:rsidRPr="005E49C0">
        <w:rPr>
          <w:rFonts w:cs="Arial"/>
          <w:sz w:val="20"/>
          <w:szCs w:val="20"/>
        </w:rPr>
        <w:t xml:space="preserve"> não possuir idoneidade para contratar com a Administração em virtude de atos ilícitos praticados.</w:t>
      </w:r>
    </w:p>
    <w:p w:rsidR="005E49C0" w:rsidRPr="005E49C0" w:rsidRDefault="005E49C0" w:rsidP="005E49C0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5E49C0">
        <w:rPr>
          <w:rFonts w:cs="Arial"/>
          <w:sz w:val="20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:rsidR="005E49C0" w:rsidRPr="005E49C0" w:rsidRDefault="005E49C0" w:rsidP="005E49C0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 w:val="20"/>
          <w:szCs w:val="20"/>
        </w:rPr>
      </w:pPr>
      <w:r w:rsidRPr="005E49C0">
        <w:rPr>
          <w:rFonts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E14AF" w:rsidRPr="00E35F1E" w:rsidRDefault="005E49C0" w:rsidP="005E49C0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 w:val="20"/>
          <w:szCs w:val="20"/>
        </w:rPr>
      </w:pPr>
      <w:r w:rsidRPr="005E49C0">
        <w:rPr>
          <w:rFonts w:cs="Arial"/>
          <w:sz w:val="20"/>
          <w:szCs w:val="20"/>
        </w:rPr>
        <w:t>As penalidades serão obrigatoriamente registradas no SICAF</w:t>
      </w:r>
      <w:r w:rsidR="001E14AF" w:rsidRPr="005E49C0">
        <w:rPr>
          <w:rFonts w:cs="Arial"/>
          <w:sz w:val="20"/>
          <w:szCs w:val="20"/>
        </w:rPr>
        <w:t>.</w:t>
      </w:r>
    </w:p>
    <w:p w:rsidR="00E35F1E" w:rsidRPr="005E49C0" w:rsidRDefault="00E35F1E" w:rsidP="00E35F1E">
      <w:pPr>
        <w:spacing w:before="120" w:after="120" w:line="276" w:lineRule="auto"/>
        <w:ind w:left="425"/>
        <w:jc w:val="both"/>
        <w:rPr>
          <w:rFonts w:cs="Arial"/>
          <w:i/>
          <w:sz w:val="20"/>
          <w:szCs w:val="20"/>
        </w:rPr>
      </w:pPr>
    </w:p>
    <w:p w:rsidR="001E14AF" w:rsidRPr="00E35F1E" w:rsidRDefault="00E35F1E" w:rsidP="001E14AF">
      <w:pPr>
        <w:spacing w:after="360"/>
        <w:ind w:left="360"/>
        <w:rPr>
          <w:rFonts w:cs="Arial"/>
          <w:sz w:val="20"/>
          <w:szCs w:val="20"/>
        </w:rPr>
      </w:pPr>
      <w:r w:rsidRPr="00E35F1E">
        <w:rPr>
          <w:rFonts w:cs="Arial"/>
          <w:sz w:val="20"/>
          <w:szCs w:val="20"/>
        </w:rPr>
        <w:t>Maceió-AL</w:t>
      </w:r>
      <w:proofErr w:type="gramStart"/>
      <w:r w:rsidR="00124FA4" w:rsidRPr="00E35F1E">
        <w:rPr>
          <w:rFonts w:cs="Arial"/>
          <w:b/>
          <w:bCs/>
          <w:sz w:val="20"/>
          <w:szCs w:val="20"/>
        </w:rPr>
        <w:t>, ...</w:t>
      </w:r>
      <w:proofErr w:type="gramEnd"/>
      <w:r w:rsidR="00124FA4" w:rsidRPr="00E35F1E">
        <w:rPr>
          <w:rFonts w:cs="Arial"/>
          <w:b/>
          <w:bCs/>
          <w:sz w:val="20"/>
          <w:szCs w:val="20"/>
        </w:rPr>
        <w:t xml:space="preserve">....... </w:t>
      </w:r>
      <w:proofErr w:type="gramStart"/>
      <w:r w:rsidR="00124FA4" w:rsidRPr="00E35F1E">
        <w:rPr>
          <w:rFonts w:cs="Arial"/>
          <w:bCs/>
          <w:sz w:val="20"/>
          <w:szCs w:val="20"/>
        </w:rPr>
        <w:t>de</w:t>
      </w:r>
      <w:proofErr w:type="gramEnd"/>
      <w:r w:rsidR="00124FA4" w:rsidRPr="00E35F1E">
        <w:rPr>
          <w:rFonts w:cs="Arial"/>
          <w:b/>
          <w:bCs/>
          <w:sz w:val="20"/>
          <w:szCs w:val="20"/>
        </w:rPr>
        <w:t xml:space="preserve"> ................</w:t>
      </w:r>
      <w:r w:rsidR="00124FA4" w:rsidRPr="00E35F1E">
        <w:rPr>
          <w:rFonts w:cs="Arial"/>
          <w:bCs/>
          <w:sz w:val="20"/>
          <w:szCs w:val="20"/>
        </w:rPr>
        <w:t>de</w:t>
      </w:r>
      <w:r w:rsidR="00124FA4" w:rsidRPr="00E35F1E">
        <w:rPr>
          <w:rFonts w:cs="Arial"/>
          <w:b/>
          <w:bCs/>
          <w:sz w:val="20"/>
          <w:szCs w:val="20"/>
        </w:rPr>
        <w:t xml:space="preserve"> ............</w:t>
      </w:r>
      <w:r w:rsidR="001E14AF" w:rsidRPr="00E35F1E">
        <w:rPr>
          <w:rFonts w:cs="Arial"/>
          <w:sz w:val="20"/>
          <w:szCs w:val="20"/>
        </w:rPr>
        <w:t xml:space="preserve">. </w:t>
      </w:r>
    </w:p>
    <w:p w:rsidR="001E14AF" w:rsidRPr="006A0037" w:rsidRDefault="001E14AF" w:rsidP="001E14AF">
      <w:pPr>
        <w:spacing w:after="360"/>
        <w:ind w:left="360"/>
        <w:rPr>
          <w:rFonts w:cs="Arial"/>
          <w:sz w:val="20"/>
          <w:szCs w:val="20"/>
        </w:rPr>
      </w:pPr>
    </w:p>
    <w:p w:rsidR="001E14AF" w:rsidRPr="006A0037" w:rsidRDefault="001E14AF" w:rsidP="00E35F1E">
      <w:pPr>
        <w:spacing w:after="360"/>
        <w:ind w:left="360"/>
        <w:jc w:val="center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__________________________________</w:t>
      </w:r>
    </w:p>
    <w:p w:rsidR="001E14AF" w:rsidRPr="006A0037" w:rsidRDefault="00E35F1E" w:rsidP="00E35F1E">
      <w:pPr>
        <w:spacing w:after="360"/>
        <w:ind w:left="36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Responsável pela FOUFAL</w:t>
      </w:r>
    </w:p>
    <w:p w:rsidR="009D68FB" w:rsidRPr="00976832" w:rsidRDefault="009D68FB" w:rsidP="001E14AF">
      <w:pPr>
        <w:rPr>
          <w:rFonts w:cs="Arial"/>
          <w:sz w:val="20"/>
          <w:szCs w:val="20"/>
        </w:rPr>
      </w:pPr>
    </w:p>
    <w:sectPr w:rsidR="009D68FB" w:rsidRPr="00976832" w:rsidSect="004A5AC6"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B0" w:rsidRDefault="002047B0">
      <w:r>
        <w:separator/>
      </w:r>
    </w:p>
  </w:endnote>
  <w:endnote w:type="continuationSeparator" w:id="0">
    <w:p w:rsidR="002047B0" w:rsidRDefault="0020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C6" w:rsidRPr="00A8436A" w:rsidRDefault="004A5AC6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:rsidR="004A5AC6" w:rsidRPr="00A8436A" w:rsidRDefault="004A5AC6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 xml:space="preserve">Comissão Permanente de Atualização de Editais da </w:t>
    </w:r>
    <w:proofErr w:type="spellStart"/>
    <w:r w:rsidRPr="00A8436A">
      <w:rPr>
        <w:rFonts w:cs="Arial"/>
        <w:sz w:val="12"/>
        <w:szCs w:val="12"/>
      </w:rPr>
      <w:t>Consultoria-Geral</w:t>
    </w:r>
    <w:proofErr w:type="spellEnd"/>
    <w:r w:rsidRPr="00A8436A">
      <w:rPr>
        <w:rFonts w:cs="Arial"/>
        <w:sz w:val="12"/>
        <w:szCs w:val="12"/>
      </w:rPr>
      <w:t xml:space="preserve"> da União</w:t>
    </w:r>
  </w:p>
  <w:p w:rsidR="004A5AC6" w:rsidRPr="00A8436A" w:rsidRDefault="004A5AC6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:rsidR="004A5AC6" w:rsidRPr="00A8436A" w:rsidRDefault="0078540E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</w:t>
    </w:r>
    <w:r w:rsidR="00D94484">
      <w:rPr>
        <w:rFonts w:cs="Arial"/>
        <w:sz w:val="12"/>
        <w:szCs w:val="12"/>
      </w:rPr>
      <w:t>/201</w:t>
    </w:r>
    <w:r>
      <w:rPr>
        <w:rFonts w:cs="Arial"/>
        <w:sz w:val="12"/>
        <w:szCs w:val="12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B0" w:rsidRDefault="002047B0">
      <w:r>
        <w:separator/>
      </w:r>
    </w:p>
  </w:footnote>
  <w:footnote w:type="continuationSeparator" w:id="0">
    <w:p w:rsidR="002047B0" w:rsidRDefault="0020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1D5C100D"/>
    <w:multiLevelType w:val="multilevel"/>
    <w:tmpl w:val="0A388A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DB020CD"/>
    <w:multiLevelType w:val="multilevel"/>
    <w:tmpl w:val="03E48CD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  <w:i w:val="0"/>
        <w:color w:val="00000A"/>
        <w:sz w:val="20"/>
      </w:rPr>
    </w:lvl>
    <w:lvl w:ilvl="3">
      <w:start w:val="1"/>
      <w:numFmt w:val="decimal"/>
      <w:lvlText w:val="%1.%2.%3.%4."/>
      <w:lvlJc w:val="left"/>
      <w:pPr>
        <w:ind w:left="787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2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5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9E3563C"/>
    <w:multiLevelType w:val="multilevel"/>
    <w:tmpl w:val="E89EBCA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/>
        <w:b/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/>
        <w:b w:val="0"/>
        <w:i w:val="0"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7"/>
  </w:num>
  <w:num w:numId="5">
    <w:abstractNumId w:val="15"/>
  </w:num>
  <w:num w:numId="6">
    <w:abstractNumId w:val="24"/>
  </w:num>
  <w:num w:numId="7">
    <w:abstractNumId w:val="21"/>
  </w:num>
  <w:num w:numId="8">
    <w:abstractNumId w:val="22"/>
  </w:num>
  <w:num w:numId="9">
    <w:abstractNumId w:val="25"/>
  </w:num>
  <w:num w:numId="10">
    <w:abstractNumId w:val="11"/>
  </w:num>
  <w:num w:numId="11">
    <w:abstractNumId w:val="23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8"/>
  </w:num>
  <w:num w:numId="30">
    <w:abstractNumId w:val="30"/>
  </w:num>
  <w:num w:numId="31">
    <w:abstractNumId w:val="26"/>
  </w:num>
  <w:num w:numId="32">
    <w:abstractNumId w:val="3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82"/>
    <w:rsid w:val="0000236D"/>
    <w:rsid w:val="00003298"/>
    <w:rsid w:val="00004339"/>
    <w:rsid w:val="0001661B"/>
    <w:rsid w:val="0002260C"/>
    <w:rsid w:val="0002306D"/>
    <w:rsid w:val="000242C8"/>
    <w:rsid w:val="00027155"/>
    <w:rsid w:val="000318BA"/>
    <w:rsid w:val="00034A29"/>
    <w:rsid w:val="00040957"/>
    <w:rsid w:val="0004568C"/>
    <w:rsid w:val="00047D73"/>
    <w:rsid w:val="00056433"/>
    <w:rsid w:val="00060414"/>
    <w:rsid w:val="00062853"/>
    <w:rsid w:val="00062C9B"/>
    <w:rsid w:val="00063430"/>
    <w:rsid w:val="0006537A"/>
    <w:rsid w:val="000658CE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A7C00"/>
    <w:rsid w:val="000B65A7"/>
    <w:rsid w:val="000B7B55"/>
    <w:rsid w:val="000C123B"/>
    <w:rsid w:val="000C21AD"/>
    <w:rsid w:val="000C2C16"/>
    <w:rsid w:val="000C670A"/>
    <w:rsid w:val="000D2A1E"/>
    <w:rsid w:val="000D2AC3"/>
    <w:rsid w:val="000F1C1C"/>
    <w:rsid w:val="000F4088"/>
    <w:rsid w:val="000F4F96"/>
    <w:rsid w:val="000F5A07"/>
    <w:rsid w:val="00100990"/>
    <w:rsid w:val="00104A23"/>
    <w:rsid w:val="00105707"/>
    <w:rsid w:val="001103FF"/>
    <w:rsid w:val="00113EEB"/>
    <w:rsid w:val="001219B0"/>
    <w:rsid w:val="0012310A"/>
    <w:rsid w:val="00124990"/>
    <w:rsid w:val="001249E9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5F29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8426C"/>
    <w:rsid w:val="001904A8"/>
    <w:rsid w:val="001A1732"/>
    <w:rsid w:val="001A2CE9"/>
    <w:rsid w:val="001A3A05"/>
    <w:rsid w:val="001A3E18"/>
    <w:rsid w:val="001A76FB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47B0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31E8F"/>
    <w:rsid w:val="00231E9C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ECC"/>
    <w:rsid w:val="0028765E"/>
    <w:rsid w:val="0029037D"/>
    <w:rsid w:val="002937D4"/>
    <w:rsid w:val="00294F04"/>
    <w:rsid w:val="002C54C1"/>
    <w:rsid w:val="002D63D0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658A"/>
    <w:rsid w:val="00364141"/>
    <w:rsid w:val="00367EF6"/>
    <w:rsid w:val="003727BF"/>
    <w:rsid w:val="00373F2A"/>
    <w:rsid w:val="0037433B"/>
    <w:rsid w:val="003779A2"/>
    <w:rsid w:val="0038139C"/>
    <w:rsid w:val="0038570C"/>
    <w:rsid w:val="00386157"/>
    <w:rsid w:val="00386ADE"/>
    <w:rsid w:val="0039046D"/>
    <w:rsid w:val="00391E14"/>
    <w:rsid w:val="003959F6"/>
    <w:rsid w:val="00397F65"/>
    <w:rsid w:val="003A1871"/>
    <w:rsid w:val="003A438D"/>
    <w:rsid w:val="003A73C1"/>
    <w:rsid w:val="003B791E"/>
    <w:rsid w:val="003C609E"/>
    <w:rsid w:val="003C6275"/>
    <w:rsid w:val="003D2438"/>
    <w:rsid w:val="003D69A5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0A4"/>
    <w:rsid w:val="003F36A3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5CBE"/>
    <w:rsid w:val="00455EB7"/>
    <w:rsid w:val="00455FD5"/>
    <w:rsid w:val="00460E8A"/>
    <w:rsid w:val="00461FC7"/>
    <w:rsid w:val="0046230A"/>
    <w:rsid w:val="00462C95"/>
    <w:rsid w:val="0046486A"/>
    <w:rsid w:val="00470D04"/>
    <w:rsid w:val="00473A3D"/>
    <w:rsid w:val="004773FC"/>
    <w:rsid w:val="00480328"/>
    <w:rsid w:val="004834FC"/>
    <w:rsid w:val="00483B15"/>
    <w:rsid w:val="00483FB9"/>
    <w:rsid w:val="00491452"/>
    <w:rsid w:val="00493526"/>
    <w:rsid w:val="00494AE7"/>
    <w:rsid w:val="004A030A"/>
    <w:rsid w:val="004A4843"/>
    <w:rsid w:val="004A5AC6"/>
    <w:rsid w:val="004B05B0"/>
    <w:rsid w:val="004B0CAC"/>
    <w:rsid w:val="004B19B5"/>
    <w:rsid w:val="004B1D7D"/>
    <w:rsid w:val="004B460A"/>
    <w:rsid w:val="004C0212"/>
    <w:rsid w:val="004C05F9"/>
    <w:rsid w:val="004D00B1"/>
    <w:rsid w:val="004D087F"/>
    <w:rsid w:val="004D6F9D"/>
    <w:rsid w:val="004E0194"/>
    <w:rsid w:val="004E6184"/>
    <w:rsid w:val="004E6F18"/>
    <w:rsid w:val="004F1471"/>
    <w:rsid w:val="004F58FA"/>
    <w:rsid w:val="004F5DB8"/>
    <w:rsid w:val="004F5DF9"/>
    <w:rsid w:val="004F66B4"/>
    <w:rsid w:val="004F78C6"/>
    <w:rsid w:val="0050224C"/>
    <w:rsid w:val="005037A6"/>
    <w:rsid w:val="00512D53"/>
    <w:rsid w:val="00514883"/>
    <w:rsid w:val="0053132E"/>
    <w:rsid w:val="00561C04"/>
    <w:rsid w:val="0056213B"/>
    <w:rsid w:val="00562F82"/>
    <w:rsid w:val="00564913"/>
    <w:rsid w:val="005800D8"/>
    <w:rsid w:val="005846C9"/>
    <w:rsid w:val="00586D19"/>
    <w:rsid w:val="005873FC"/>
    <w:rsid w:val="00590EAF"/>
    <w:rsid w:val="00595DA6"/>
    <w:rsid w:val="0059602C"/>
    <w:rsid w:val="00597175"/>
    <w:rsid w:val="005A5428"/>
    <w:rsid w:val="005A6A91"/>
    <w:rsid w:val="005B0043"/>
    <w:rsid w:val="005B0066"/>
    <w:rsid w:val="005C04BF"/>
    <w:rsid w:val="005C3930"/>
    <w:rsid w:val="005C3EE6"/>
    <w:rsid w:val="005C52A6"/>
    <w:rsid w:val="005C76D8"/>
    <w:rsid w:val="005E1321"/>
    <w:rsid w:val="005E2DD4"/>
    <w:rsid w:val="005E412D"/>
    <w:rsid w:val="005E49C0"/>
    <w:rsid w:val="005E6D43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40F39"/>
    <w:rsid w:val="00641782"/>
    <w:rsid w:val="00655AAF"/>
    <w:rsid w:val="00656A30"/>
    <w:rsid w:val="006673E7"/>
    <w:rsid w:val="00674964"/>
    <w:rsid w:val="00680B7E"/>
    <w:rsid w:val="00683B94"/>
    <w:rsid w:val="00686692"/>
    <w:rsid w:val="006920F8"/>
    <w:rsid w:val="00693033"/>
    <w:rsid w:val="00693321"/>
    <w:rsid w:val="00694893"/>
    <w:rsid w:val="00694DD9"/>
    <w:rsid w:val="006A0037"/>
    <w:rsid w:val="006A12B1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8C7"/>
    <w:rsid w:val="00704462"/>
    <w:rsid w:val="00710C7E"/>
    <w:rsid w:val="007200E3"/>
    <w:rsid w:val="0073044F"/>
    <w:rsid w:val="00733DE0"/>
    <w:rsid w:val="007357C5"/>
    <w:rsid w:val="0074032D"/>
    <w:rsid w:val="00740D25"/>
    <w:rsid w:val="00741328"/>
    <w:rsid w:val="00745F27"/>
    <w:rsid w:val="00752B1F"/>
    <w:rsid w:val="0075531C"/>
    <w:rsid w:val="00756F76"/>
    <w:rsid w:val="007679B9"/>
    <w:rsid w:val="007718A7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D7BED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6DD7"/>
    <w:rsid w:val="0080756C"/>
    <w:rsid w:val="00812ACB"/>
    <w:rsid w:val="00813602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4CDC"/>
    <w:rsid w:val="008559F1"/>
    <w:rsid w:val="00855E5A"/>
    <w:rsid w:val="008601A9"/>
    <w:rsid w:val="0086043C"/>
    <w:rsid w:val="00862733"/>
    <w:rsid w:val="00865B0D"/>
    <w:rsid w:val="00871B33"/>
    <w:rsid w:val="00872949"/>
    <w:rsid w:val="00887874"/>
    <w:rsid w:val="008941DB"/>
    <w:rsid w:val="008A0AA9"/>
    <w:rsid w:val="008A0E66"/>
    <w:rsid w:val="008A16EA"/>
    <w:rsid w:val="008B6162"/>
    <w:rsid w:val="008B6E84"/>
    <w:rsid w:val="008C04DF"/>
    <w:rsid w:val="008C1971"/>
    <w:rsid w:val="008C1AF7"/>
    <w:rsid w:val="008D0EE5"/>
    <w:rsid w:val="008D2CAF"/>
    <w:rsid w:val="008D3ACE"/>
    <w:rsid w:val="008D51CC"/>
    <w:rsid w:val="008E1D57"/>
    <w:rsid w:val="008E4F95"/>
    <w:rsid w:val="008F4D52"/>
    <w:rsid w:val="008F4E41"/>
    <w:rsid w:val="00901F49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0BD4"/>
    <w:rsid w:val="00931141"/>
    <w:rsid w:val="00931A06"/>
    <w:rsid w:val="0093221F"/>
    <w:rsid w:val="00932665"/>
    <w:rsid w:val="00935665"/>
    <w:rsid w:val="00935B30"/>
    <w:rsid w:val="00936A4E"/>
    <w:rsid w:val="00941580"/>
    <w:rsid w:val="00944E0C"/>
    <w:rsid w:val="00950D81"/>
    <w:rsid w:val="00953772"/>
    <w:rsid w:val="009543EB"/>
    <w:rsid w:val="009623AB"/>
    <w:rsid w:val="009625A6"/>
    <w:rsid w:val="00970053"/>
    <w:rsid w:val="00970A6B"/>
    <w:rsid w:val="009763C4"/>
    <w:rsid w:val="00976832"/>
    <w:rsid w:val="00977F85"/>
    <w:rsid w:val="009803F1"/>
    <w:rsid w:val="009844F7"/>
    <w:rsid w:val="0099079E"/>
    <w:rsid w:val="00995FFD"/>
    <w:rsid w:val="009A1099"/>
    <w:rsid w:val="009A45B0"/>
    <w:rsid w:val="009A6A6F"/>
    <w:rsid w:val="009B1586"/>
    <w:rsid w:val="009B1B69"/>
    <w:rsid w:val="009C470D"/>
    <w:rsid w:val="009C638B"/>
    <w:rsid w:val="009D3626"/>
    <w:rsid w:val="009D5752"/>
    <w:rsid w:val="009D68FB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245"/>
    <w:rsid w:val="00A01175"/>
    <w:rsid w:val="00A055A5"/>
    <w:rsid w:val="00A12A7C"/>
    <w:rsid w:val="00A1330E"/>
    <w:rsid w:val="00A339C2"/>
    <w:rsid w:val="00A37D1B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77C2C"/>
    <w:rsid w:val="00A80062"/>
    <w:rsid w:val="00A83771"/>
    <w:rsid w:val="00A8436A"/>
    <w:rsid w:val="00A856EB"/>
    <w:rsid w:val="00A9022E"/>
    <w:rsid w:val="00A914E1"/>
    <w:rsid w:val="00A96322"/>
    <w:rsid w:val="00AA1165"/>
    <w:rsid w:val="00AA3F31"/>
    <w:rsid w:val="00AA4625"/>
    <w:rsid w:val="00AB1514"/>
    <w:rsid w:val="00AB1F1A"/>
    <w:rsid w:val="00AC2965"/>
    <w:rsid w:val="00AC4F34"/>
    <w:rsid w:val="00AC6EC2"/>
    <w:rsid w:val="00AE3A63"/>
    <w:rsid w:val="00AE5435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3262"/>
    <w:rsid w:val="00B14C20"/>
    <w:rsid w:val="00B16238"/>
    <w:rsid w:val="00B179BF"/>
    <w:rsid w:val="00B23F8B"/>
    <w:rsid w:val="00B24365"/>
    <w:rsid w:val="00B27724"/>
    <w:rsid w:val="00B30F3D"/>
    <w:rsid w:val="00B432A0"/>
    <w:rsid w:val="00B4738B"/>
    <w:rsid w:val="00B50E09"/>
    <w:rsid w:val="00B517F7"/>
    <w:rsid w:val="00B52AFC"/>
    <w:rsid w:val="00B52EFE"/>
    <w:rsid w:val="00B60DCA"/>
    <w:rsid w:val="00B63C73"/>
    <w:rsid w:val="00B66E1A"/>
    <w:rsid w:val="00B66EDD"/>
    <w:rsid w:val="00B672B3"/>
    <w:rsid w:val="00B76DB6"/>
    <w:rsid w:val="00B77488"/>
    <w:rsid w:val="00B77DBF"/>
    <w:rsid w:val="00B810DF"/>
    <w:rsid w:val="00B81FBB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B1522"/>
    <w:rsid w:val="00BB4389"/>
    <w:rsid w:val="00BB61BE"/>
    <w:rsid w:val="00BC2797"/>
    <w:rsid w:val="00BC28C8"/>
    <w:rsid w:val="00BC4227"/>
    <w:rsid w:val="00BD1366"/>
    <w:rsid w:val="00BD1E30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E7CA6"/>
    <w:rsid w:val="00BF0E8E"/>
    <w:rsid w:val="00BF1A7F"/>
    <w:rsid w:val="00BF418F"/>
    <w:rsid w:val="00C00F37"/>
    <w:rsid w:val="00C03F51"/>
    <w:rsid w:val="00C10CC7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60C2D"/>
    <w:rsid w:val="00C67C23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A6A"/>
    <w:rsid w:val="00CA6108"/>
    <w:rsid w:val="00CB766B"/>
    <w:rsid w:val="00CC356D"/>
    <w:rsid w:val="00CC62BA"/>
    <w:rsid w:val="00CD109D"/>
    <w:rsid w:val="00CD1E9D"/>
    <w:rsid w:val="00CD6ABB"/>
    <w:rsid w:val="00CD70CB"/>
    <w:rsid w:val="00CE5CF2"/>
    <w:rsid w:val="00CE63E4"/>
    <w:rsid w:val="00CE71E8"/>
    <w:rsid w:val="00D00A5D"/>
    <w:rsid w:val="00D00A87"/>
    <w:rsid w:val="00D02F2F"/>
    <w:rsid w:val="00D10374"/>
    <w:rsid w:val="00D13087"/>
    <w:rsid w:val="00D139AB"/>
    <w:rsid w:val="00D16FA0"/>
    <w:rsid w:val="00D26DCE"/>
    <w:rsid w:val="00D335CF"/>
    <w:rsid w:val="00D41AF6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80021"/>
    <w:rsid w:val="00D8724C"/>
    <w:rsid w:val="00D938C1"/>
    <w:rsid w:val="00D94484"/>
    <w:rsid w:val="00D9611E"/>
    <w:rsid w:val="00DA30CA"/>
    <w:rsid w:val="00DA47A8"/>
    <w:rsid w:val="00DA66BE"/>
    <w:rsid w:val="00DB11A0"/>
    <w:rsid w:val="00DB3592"/>
    <w:rsid w:val="00DB4C93"/>
    <w:rsid w:val="00DC0533"/>
    <w:rsid w:val="00DC3F8A"/>
    <w:rsid w:val="00DD0070"/>
    <w:rsid w:val="00DD46E9"/>
    <w:rsid w:val="00DE0D00"/>
    <w:rsid w:val="00DE16CD"/>
    <w:rsid w:val="00DE56FD"/>
    <w:rsid w:val="00DE6492"/>
    <w:rsid w:val="00DF280B"/>
    <w:rsid w:val="00DF28B7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307B6"/>
    <w:rsid w:val="00E34F5C"/>
    <w:rsid w:val="00E35957"/>
    <w:rsid w:val="00E35F1E"/>
    <w:rsid w:val="00E41AD6"/>
    <w:rsid w:val="00E42017"/>
    <w:rsid w:val="00E42730"/>
    <w:rsid w:val="00E46268"/>
    <w:rsid w:val="00E46616"/>
    <w:rsid w:val="00E54578"/>
    <w:rsid w:val="00E55854"/>
    <w:rsid w:val="00E5586D"/>
    <w:rsid w:val="00E60BCB"/>
    <w:rsid w:val="00E628AD"/>
    <w:rsid w:val="00E64339"/>
    <w:rsid w:val="00E677BD"/>
    <w:rsid w:val="00E70C44"/>
    <w:rsid w:val="00E72B6E"/>
    <w:rsid w:val="00E872A7"/>
    <w:rsid w:val="00E94BFB"/>
    <w:rsid w:val="00EA19E9"/>
    <w:rsid w:val="00EA29F6"/>
    <w:rsid w:val="00EA369D"/>
    <w:rsid w:val="00EA411E"/>
    <w:rsid w:val="00EA641F"/>
    <w:rsid w:val="00EA6A5A"/>
    <w:rsid w:val="00EA6C83"/>
    <w:rsid w:val="00EA7D2B"/>
    <w:rsid w:val="00EB19E0"/>
    <w:rsid w:val="00EB5A80"/>
    <w:rsid w:val="00EB773C"/>
    <w:rsid w:val="00EC07DD"/>
    <w:rsid w:val="00EC0D7C"/>
    <w:rsid w:val="00EC1A0A"/>
    <w:rsid w:val="00EC3652"/>
    <w:rsid w:val="00EC7F14"/>
    <w:rsid w:val="00ED5830"/>
    <w:rsid w:val="00EE220A"/>
    <w:rsid w:val="00EE2853"/>
    <w:rsid w:val="00EE5FEB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572EC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913EB"/>
    <w:rsid w:val="00FA0966"/>
    <w:rsid w:val="00FA6905"/>
    <w:rsid w:val="00FA7A01"/>
    <w:rsid w:val="00FB03E9"/>
    <w:rsid w:val="00FB118A"/>
    <w:rsid w:val="00FB154A"/>
    <w:rsid w:val="00FB4456"/>
    <w:rsid w:val="00FB5D74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F128-ABE9-4ABA-9A04-48134ED6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360</TotalTime>
  <Pages>8</Pages>
  <Words>3066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05416732466</cp:lastModifiedBy>
  <cp:revision>70</cp:revision>
  <cp:lastPrinted>2010-11-03T19:07:00Z</cp:lastPrinted>
  <dcterms:created xsi:type="dcterms:W3CDTF">2013-05-01T13:10:00Z</dcterms:created>
  <dcterms:modified xsi:type="dcterms:W3CDTF">2018-06-15T15:14:00Z</dcterms:modified>
</cp:coreProperties>
</file>