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TÓPICOS OBRIGATÓRIOS DO ETP DIGITAL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Descrição da necessidade da contratação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Definir, de modo geral, qual a/s necessidade/s a ser/em atendida/s ou problema/s a ser/em solucionados com a aquisição do grupo de material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Um dos principais sintomas identificados pela Organização Mundial da Saúde pertencente ao quadro viral do novo Coronavírus é o aumento da temperatura corporal (estado febril), o qual, desencadeia outras sintomatologias clínicas da COVID19. Considerando os documentos publicados de biossegurança, dentre eles ressaltamos o da UFAL, uma das formas de controlar a propagação do vírus é controlar o acesso das pessoas em espaços fechados e, ao permitir a entrada, a temperatura corpórea precisa ser aferida, de modo a encaminhar qualquer usuário ao serviço de saúde, caso apresente alteração na temperatura corporal.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Descrição da solução como um todo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Informar que a aquisição dos materiais é a solução viável para atendimento da/s necessidade/s ou problema/s apontados no tópico anterior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 solução identificada para o atendimento da necessidade consiste na aquisição de termômetros digitais para serem distribuídos e utilizados em locais estratégicos onde o fluxo de pessoas a partir da implantação do Protocolo de Biossegurança está sendo controlada.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3. Estimativa das quantidades 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Informar, de modo geral, em que se basearam as quantidades estimadas das contratações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A quantidade estimada de 50 unidades visa atender a um número inicial de espaços distribuídos nos </w:t>
      </w:r>
      <w:r w:rsidDel="00000000" w:rsidR="00000000" w:rsidRPr="00000000">
        <w:rPr>
          <w:i w:val="1"/>
          <w:rtl w:val="0"/>
        </w:rPr>
        <w:t xml:space="preserve">Campi </w:t>
      </w:r>
      <w:r w:rsidDel="00000000" w:rsidR="00000000" w:rsidRPr="00000000">
        <w:rPr>
          <w:rtl w:val="0"/>
        </w:rPr>
        <w:t xml:space="preserve">(A. C. Simões, CECA, Arapiraca e Sertão), Unidades dispersas e Hospital Universitário Veterinário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4. Estimativa do valor da contratação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Informar o valor total estimado dos itens do grupo. Esse valor deve ser o total estimado inicialmente pelas Unidades (valor da planilha)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R$ 4.070,00.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5. Justificativa para o (não) parcelamento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Informar apenas que não há necessidade de agrupamento dos itens ou, em casos raros, que há necessidade, explicando as técnicas e/ou econômicas para isso</w:t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Pelo menos a princípio, não foi identificada necessidade de parcelamento.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6. Previsão no Plano Anual de Contratações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Informar que a aquisição está prevista no PAAC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Considerando que, conforme Resolução nº 45/218 - Consuni, o Plano Anual de Aquisições e Contratações de 2021 foi elaborado em 2019, período no qual não havia previsão da situação pandêmica atual, o item a ser adquirido não consta no Plano.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7. Viabilidade ou não da contratação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Informar que a contratação é viável</w:t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 contratação é viável, uma vez que atende os requisitos legais e há previsão orçamentária para atendimento.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tabs>
        <w:tab w:val="center" w:pos="5244"/>
        <w:tab w:val="right" w:pos="9496"/>
      </w:tabs>
      <w:spacing w:line="240" w:lineRule="auto"/>
      <w:ind w:left="992" w:firstLine="0"/>
      <w:jc w:val="both"/>
      <w:rPr/>
    </w:pPr>
    <w:r w:rsidDel="00000000" w:rsidR="00000000" w:rsidRPr="00000000">
      <w:rPr>
        <w:b w:val="1"/>
        <w:rtl w:val="0"/>
      </w:rPr>
      <w:t xml:space="preserve">UNIVERSIDADE FEDERAL DE ALAGOAS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133350</wp:posOffset>
          </wp:positionH>
          <wp:positionV relativeFrom="paragraph">
            <wp:posOffset>-123824</wp:posOffset>
          </wp:positionV>
          <wp:extent cx="566738" cy="780601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8" cy="7806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ageBreakBefore w:val="0"/>
      <w:spacing w:line="240" w:lineRule="auto"/>
      <w:ind w:left="992" w:firstLine="0"/>
      <w:jc w:val="both"/>
      <w:rPr/>
    </w:pPr>
    <w:r w:rsidDel="00000000" w:rsidR="00000000" w:rsidRPr="00000000">
      <w:rPr>
        <w:b w:val="1"/>
        <w:rtl w:val="0"/>
      </w:rPr>
      <w:t xml:space="preserve">GABINETE DA VICE-REITORIA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widowControl w:val="0"/>
      <w:ind w:right="567"/>
      <w:jc w:val="center"/>
      <w:rPr>
        <w:rFonts w:ascii="Verdana" w:cs="Verdana" w:eastAsia="Verdana" w:hAnsi="Verdana"/>
        <w:b w:val="1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widowControl w:val="0"/>
      <w:ind w:right="567"/>
      <w:jc w:val="right"/>
      <w:rPr/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