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DE GASES – MATERIAIS DE CONSUMO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Descrição da necessidade da contratação</w:t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universidade necessita de ajustes e reparos em sua rede lógica computacional, bem como da resolução de problemas de Tecnologia da Informação e Comunicação (TIC) ocasionados por mau funcionamento de componentes e escassez de suprimentos.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Descrição da solução como um todo</w:t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aquisição dos materiais é necessária para o atendimento das necessidades e problemas existentes na rede lógica computacional, bem como para as deficiências dos componentes e suprimentos de TIC da universidade.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Estimativa das quantidades </w:t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estimativa das quantidades se baseia no número de setores administrativos, salas de aula, pátios e auditórios. Além disso, o quantitativo de usuários da comunidade acadêmica foi levado em consideração.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Estimativa do valor da contratação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R$ 50.904,43</w:t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5. Justificativa para o (não) parcelamento da solução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Considerando que a aquisição dos componentes, suprimentos e materiais de TIC são de natureza diversa, faz-se necessário o parcelamento da solução. </w:t>
      </w:r>
    </w:p>
    <w:p w:rsidR="00000000" w:rsidDel="00000000" w:rsidP="00000000" w:rsidRDefault="00000000" w:rsidRPr="00000000" w14:paraId="00000017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6. Previsão no Plano Anual de Contratações (ou justificativa da ausência)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As aquisições constam no Plano Anual de Contratações.</w:t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7. Viabilidade (ou não) da contratação</w:t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As aquisições são viáveis.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40" w:lineRule="auto"/>
      <w:ind w:right="567"/>
      <w:jc w:val="center"/>
      <w:rPr>
        <w:rFonts w:ascii="Verdana" w:cs="Verdana" w:eastAsia="Verdana" w:hAnsi="Verdana"/>
        <w:b w:val="1"/>
        <w:sz w:val="26"/>
        <w:szCs w:val="26"/>
      </w:rPr>
    </w:pPr>
    <w:r w:rsidDel="00000000" w:rsidR="00000000" w:rsidRPr="00000000">
      <w:rPr>
        <w:rFonts w:ascii="Verdana" w:cs="Verdana" w:eastAsia="Verdana" w:hAnsi="Verdana"/>
        <w:b w:val="1"/>
        <w:sz w:val="26"/>
        <w:szCs w:val="26"/>
        <w:rtl w:val="0"/>
      </w:rPr>
      <w:t xml:space="preserve">UNIVERSIDADE FEDERAL DE ALAGOAS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66679</wp:posOffset>
          </wp:positionH>
          <wp:positionV relativeFrom="paragraph">
            <wp:posOffset>19050</wp:posOffset>
          </wp:positionV>
          <wp:extent cx="566738" cy="780601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8" cy="7806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widowControl w:val="0"/>
      <w:spacing w:line="240" w:lineRule="auto"/>
      <w:ind w:right="567"/>
      <w:jc w:val="center"/>
      <w:rPr>
        <w:rFonts w:ascii="Verdana" w:cs="Verdana" w:eastAsia="Verdana" w:hAnsi="Verdana"/>
        <w:b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ind w:right="567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ind w:right="567"/>
      <w:jc w:val="right"/>
      <w:rPr/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02E2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02E28"/>
  </w:style>
  <w:style w:type="paragraph" w:styleId="Rodap">
    <w:name w:val="footer"/>
    <w:basedOn w:val="Normal"/>
    <w:link w:val="RodapChar"/>
    <w:uiPriority w:val="99"/>
    <w:unhideWhenUsed w:val="1"/>
    <w:rsid w:val="00102E2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02E28"/>
  </w:style>
  <w:style w:type="table" w:styleId="Tabelacomgrade">
    <w:name w:val="Table Grid"/>
    <w:basedOn w:val="Tabelanormal"/>
    <w:uiPriority w:val="39"/>
    <w:rsid w:val="009B4E5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NRuTpvjdAlowD6eYgdD6lM58A==">AMUW2mUFr33lTvK67UKh2cSPzROn9FTNVUvWM6//7rvr86lq0noui1nDZJJjEWG0FEBFMs0fCibTQ9RsFjw3W3EeEYNgZDD37FbNeHUCdU0fnI8eCQbKdj/3uYxXXLSxddWcjEYwou0f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2020-07-28T12:35:00Z</dcterms:created>
</cp:coreProperties>
</file>