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Estudos Técnicos Preliminares - ETP para aquisição de Fármacos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y86ggu1rkgc9" w:id="0"/>
            <w:bookmarkEnd w:id="0"/>
            <w:r w:rsidDel="00000000" w:rsidR="00000000" w:rsidRPr="00000000">
              <w:rPr>
                <w:rtl w:val="0"/>
              </w:rPr>
              <w:t xml:space="preserve">1. Descrição da necessidade da contratação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spacing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 face às necessidades de execução obrigatória das atividades práticas curriculares nos diversos cursos de graduação e pós-graduação, assim como, no desenvolvimento de projetos de pesquisa e extensão por toda a comunidade acadêmica.  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Das diversas atividades executadas, destacamos os atendimentos clínicos e/ou cirúrgicos em humanos e animais nas variadas unidades acadêmicas da universidade, onde o conhecimento gerado durante o processo produzirá conhecimento de relevância e impacto na comunidade acadêmica e sociedade local contribuindo para o atendimento das demandas locais e regionais.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Faz-se imprescindível a </w:t>
      </w:r>
      <w:r w:rsidDel="00000000" w:rsidR="00000000" w:rsidRPr="00000000">
        <w:rPr>
          <w:highlight w:val="white"/>
          <w:rtl w:val="0"/>
        </w:rPr>
        <w:t xml:space="preserve">contratação pretendida, visando adquirir fármacos que serão destinados principalmente ao tratamento de pacientes humanos e animais, que necessitam de algum recurso terapêutico, durante os atendimentos realizados em aulas de graduação, pós-graduação, ou nas atividades de pesquisa e extensão de toda a universidade. </w:t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contratação ainda se faz necessária para que não haja descontinuidade nas atividades de ensino, pesquisa e extensão, visto que os mesmos são de caráter contínuo e imprescindível para o funcionamento da universidade, assim como, na prestação dos serviços ofertados por esta instituição para a sociedade alagoana através das diversas ações acadêmicas, científicas e sociais.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cxlu4owij76m" w:id="1"/>
            <w:bookmarkEnd w:id="1"/>
            <w:r w:rsidDel="00000000" w:rsidR="00000000" w:rsidRPr="00000000">
              <w:rPr>
                <w:rtl w:val="0"/>
              </w:rPr>
              <w:t xml:space="preserve">2. Descrição da solução como um todo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before="24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A solução escolhida para atender as demandas institucionais relacionadas aos </w:t>
      </w:r>
      <w:r w:rsidDel="00000000" w:rsidR="00000000" w:rsidRPr="00000000">
        <w:rPr>
          <w:rtl w:val="0"/>
        </w:rPr>
        <w:t xml:space="preserve">atendimentos clínicos e/ou cirúrgicos das atividades acadêmicas</w:t>
      </w:r>
      <w:r w:rsidDel="00000000" w:rsidR="00000000" w:rsidRPr="00000000">
        <w:rPr>
          <w:highlight w:val="white"/>
          <w:rtl w:val="0"/>
        </w:rPr>
        <w:t xml:space="preserve">, foi a aquisição dos fármacos</w:t>
      </w:r>
      <w:r w:rsidDel="00000000" w:rsidR="00000000" w:rsidRPr="00000000">
        <w:rPr>
          <w:rtl w:val="0"/>
        </w:rPr>
        <w:t xml:space="preserve"> através de processo licitatório no sistema de registro de preços - SRP, no qual a administração após a formalização da compra pode durante 12 meses realizar empenhos dos itens pretendidos sem a necessidade de estocagem de grandes volumes, possibilitando a continuidade das atividades, e sem a necessidade de descentralização de recurso para a aquisição de uma única vez, como o caso da compra direta.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v5pksood13uy" w:id="2"/>
            <w:bookmarkEnd w:id="2"/>
            <w:r w:rsidDel="00000000" w:rsidR="00000000" w:rsidRPr="00000000">
              <w:rPr>
                <w:rtl w:val="0"/>
              </w:rPr>
              <w:t xml:space="preserve">3. Estimativa das quantidades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As estimativa dos quantitativos foi realizada através das informações passadas pelas unidades acadêmicas e administrativas no plano anual de aquisições e contratações - PAAC/2018, na resolução nº 45/2018 – CONSUNI/UFAL, passando por revisão conforme IN nº 04 de 21 de outubro de 2019 para adequação orçamentária, estabelecendo os valores descritos abaixo.</w:t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5235"/>
        <w:gridCol w:w="1635"/>
        <w:gridCol w:w="1440"/>
        <w:tblGridChange w:id="0">
          <w:tblGrid>
            <w:gridCol w:w="705"/>
            <w:gridCol w:w="5235"/>
            <w:gridCol w:w="1635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De Fornecimento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Lidocaína. Pomada Dermatológica. Concentração 5% (50mg/1g). Bisnaga 25 Gramas.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Bisnaga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Soro Fisiológico. Composição: Cloreto De Sódio (Nacl). Solução Injetável, Límpida, Estéril E Apirogênica. Concentração 0,9% (0,9g/100ml). Sistema Fechado. Utilização Intravenosa. Frasco De Polipropileno 1000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Piperazina Oral . Composição: 28 G Citrato De Piperazina Tetrahidratado, Equivalente A 36% De Piperazina. Pó Para Preparo De Solução Oral. Concentração 360mg/G. Sachê 28gr.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Sachê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Albendazol. Solução Oral. Concentração 10% (10g/100ml). Frasco De 1 Litro.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Isoflurano. Solução Anestésica Inalatória. Líquido Volátil, Límpido e Incolor, Sem Aditivos Ou Conservantes Químicos. Concentração De 100% De Isoflurano Para Cada 1ml Da Solução. Frasco De 100ml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Tiopental Sódico. Pó Esteril Para Preparo De Solução Anestesica. Uso Intravenoso. Concetração: 1 G/Frasco-ampola.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Ivermectina. Solução Esteril Injetável. Concentração 1% (1g/100ml). Frasco 1litro.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Água Oxigenada Volume 10 / Forma Farmacêutica: Solução / Composição: Peróxido De Hidrogênio 3% / Excipientes: Água Purificada, Metilparabeno E Etanol / Indicação: Antisséptico / Forma De Apresentação: Frasco De 100ml Com Bico Dosador Gotejador.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Acepromazina. Solução Injetável. Concentração 0,2% (2mg/Ml). Frasco-ampola 20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Acepromazina. Solução Injetável. Concentração 1% (10mg/Ml). Frasco-ampola 20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Amoxicilina. Emulsão Injetavel De Ação Prolongada. Concentração 15% (150mg/Ml). Frasco-ampola 50 Ml. Uso Veterinario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Benzilpenicilina Benzatina + Potassica + Procaina + Estreptomicina. Concentração Respectivamente (3.000.000 + 1.500.000 + 1.500.000 Ui) + 2500 Mg. Pó Liofilo Para Solução Injetavel. Frasco-ampola. Diclofenaco Sódico. Solução Liquida Para Diluente. Concentração 15 Mg/Ml. Ampola 15 Ml. Uso Veterinario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Butorfanol Tartarato. Solução Injetável. Concentração 1% (14,58 Mg/Ml). Frasco 10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Ceftriaxona Sódica. Pó Esteril Para Preparo De Solução. Uso Intravenoso. Concentração 1 Grama. Frasco-ampola. Água Para Injetaveis. Diluente Liquido. Ampola 10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Cicatrizante. Uso Tópico. Composição: Sulfadiazina Prata 0,15 G + Neomicina 1 G + Aluminio 1 G. Aerosol. Frasco 100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Clorexidina Digluconato. Solução Degermante. Concentração 2%. Frasco 1 Litro.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Clorexidina Digluconato. Solução Tópica Aquosa. Concentração 2%. Frasco 1 Litro.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Cetamina. Solução Injetável. Concentração 10% (1,16 G/10 Ml). Frasco-ampola 10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Dobutamina. Solução Injetável. Uso Intravenoso. Concentração 12,5 Mg/Ml (250mg/20ml). Ampola 20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Naloxona. Solução Injetável. Concentração 0,4mg/Ml. Ampola 1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Detomidina. Solução Injetável. Concentração 1% (1 G/100 Ml). Frasco 10 Ml. Uso Veterinário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Dexametasona. Solução Injetável. Concentração 2 Mg/Ml. Frasco-ampola 50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Diazepam. Solução Injetável. Concentração 5 Mg/Ml. Ampola 2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Dipropionato De Imidocarbe. Solução Injetável. Concentração 12% (120mg/Ml). Frasco-ampola 15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Dopamina. Solução Injetável. Concentração 5mg/Ml. Ampola 10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Sulfato De Efedrina. Solução Injetável. Concentração 50mg/Ml. Ampola 1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Enrofloxacina. Solução Injetável. Concentracao 10% (100mg/1ml). Frasco-ampola 50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Etomidato. Solução Injetável. Concentração 2mg/Ml. Ampola 10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Citrato De Fentanila. Solução Injetável. Concentração 0,05 Mg/Ml. Frasco-ampola 10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Flunixina Meglumina. Solução Injetável. Concentração 5% (50mg/Ml). Frasco-ampola 50 Ml. Uso Veterinario.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Furosemida. Solução Injetável. Concentração 10 Mg/Ml. Ampola 2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Gelatina Fluida Modificada. Composição: Succinilgelatina. Solução Injetável. Concentração 3,5%. Sistema Fechado. Frasco 500ml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Sulfato De Gentamicina. Solução Injetavel. Concentração 4% (40 Mg/Ml). Frasco-ampola 100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Glicose. Solução Injetável Intravenosa. Concentração 50%. Ampola Plastica Transparente 10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Hemitartarato De Epinefrina. Solução Injetável. Concentração 1mg/Ml. Ampola 1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Hemitartarato De Norepinefrina. Solução Injetável. Concentração 2mg/Ml. Ampola 4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Iodo. Concentração 10%. Apresentação Tintura. Frasco 1000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Iodopovidona - Pvpi. Solução Degermante. Concentração 10% ( Teor De Iodo 1% ). Frasco 1000ml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Iodopovidona - Pvpi. Solução Tópica Aquosa. Concentração 10% ( Teor De Iodo 1% ). Frasco 1000ml.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Iodopovidona - Pvpi. Solução Tópica Alcoolica. Concentração 10% ( Teor De Iodo 1% ). Frasco 1000ml.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Lidocaína. Solução Injetável. Concentração 2% (20mg/Ml). Sem Vasoconstrictor. Frasco-ampola 20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Lidocaína + Adrenalina. Solução Injetável. Concentração 2% (20mg/Ml + 0,02mg/Ml). Com Vasoconstrictor. Frasco-ampola 50 Ml. Uso Veterinário.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Manitol. Solução Injetável Intravenosa. Concentração 20% (0,2g/Ml). Sistema Fechado. Frasco 250ml.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Meloxicam. Solução Injetável. Concentração 0,2% (2mg/Ml). Frasco-ampola 20ml. Uso Uso Veterinário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Metadona. Solução Injetável. Concentração 10 Mg/Ml. Ampola 1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Midazolam. Solução Injetável. Concentração 5mg/Ml. Ampola 3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Sulfato De Morfina. Solução Injetável. Concentração 10mg/Ml. Ampola 1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Nalbufina. Solução Injetável. Concentração 10mg/Ml. Ampola 1ml.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Oxitetraciclina. Solução Injetável. Concentração 20% (20g/100ml). Frasco-ampola 50 Ml. Uso Veterinario.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Petidina. Solução Injetável. Concentração 50 Mg/Ml. Ampola 2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Propofol. Emulsão Injetável Intravenosa. Concentração 10mg/Ml. Frasco-ampola 20 Ml. Conservado Sob Refrigeração De 20ºc (+-2ºc).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Remifentanila. Pó Liofilo Para Preparo De Solução Injetável. Concentração 2 Mg/Frasco-ampola.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Ringer-lactato. Solução Injetável. Composição: Cloreto De Sódio + Cloreto De Potassio + Cloreto De Calcio + Lactato De Sódio, Concentrações Respectivamente, (0,006 + 0,0003 + 0,0002 + 0,003g/Ml). Sistema Fechado. Frasco 500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Ringer Simples. Solução Injetável. Composição: Cloreto De Sódio + Cloreto De Potassio + Cloreto De Calcio Injetável, Concentrações Respectivamente, (0,0086 + 0,0003 + 0,00033g/Ml). Sistema Fechado. Frasco 500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Ropivacaína. Solução Injetável. Concentração 1% (10mg/Ml). Frasco-ampola 20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Soro Fisiológico. Composição: Cloreto De Sódio (Nacl). Solução Injetável, Límpida, Estéril E Apirogênica. Concentração 0,9% (0,9g/100ml). Sistema Fechado. Utilização Intravenosa. Frasco De Polipropileno 500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Citrato De Sufentanila. Solução Injetável. Concentração 50 Mcg/Ml. Ampola 1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Tramadol. Solução Injetável. Concentração 50 Mg/Ml. Ampola 2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Ondansetrona. Solução Injetável. Concentração 8 Mg/Ml. Ampola 4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Metronidazol. Solução Injetável. Concentração 0,5% ( 5mg/Ml). Excipientes: Fosfato De Sódio Dibásico Dodecaidratado, Ácido Cítrico Anidro, Cloreto De Sódio, Água Para Injetáveis. Bolsa Plastica 100ml.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Prometazina. Solução Injetável. Concentração 25 Mg/Ml. Ampola 2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Ranitidina. Solução Injetável. Concentração 25mg/Ml. Ampola 2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Fluoresceína Sódica. Solução Oftálmica. Concentração 1% (10mg/Ml). Frasco Conta-gota 3ml.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Fenobarbital Sódico. Solução Injetável. Concentração 100mg/Ml. Ampola 2 Ml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 Sodada, Composição: Ho2, Aspecto Físico: Granulado, Cor: Branca, Uso: Anestesia, Aplicação: Filtragem De Co2 Sistema Ventilação Fechado, Características Adicionais: Grau De Dureza Com Ruptura De Grão Acima De 700 G. Galão Com 4,5 Kg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Cloridrato De Bupivacaína + Epinefrina. Solução Injetável. Concentração Respectiva 0,5% + 1/200.000ui. Frasco-ampola 20 Ml.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Frasco-ampola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21">
      <w:pPr>
        <w:pageBreakBefore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bx9os6imqpy0" w:id="3"/>
            <w:bookmarkEnd w:id="3"/>
            <w:r w:rsidDel="00000000" w:rsidR="00000000" w:rsidRPr="00000000">
              <w:rPr>
                <w:rtl w:val="0"/>
              </w:rPr>
              <w:t xml:space="preserve">4. Estimativa do valor da contratação</w:t>
            </w:r>
          </w:p>
        </w:tc>
      </w:tr>
    </w:tbl>
    <w:p w:rsidR="00000000" w:rsidDel="00000000" w:rsidP="00000000" w:rsidRDefault="00000000" w:rsidRPr="00000000" w14:paraId="00000124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ind w:firstLine="720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O valor estimado para os itens do grupo foi obtido através de pesquisa no sistema de banco de preços, conforme </w:t>
      </w:r>
      <w:r w:rsidDel="00000000" w:rsidR="00000000" w:rsidRPr="00000000">
        <w:rPr>
          <w:color w:val="162937"/>
          <w:highlight w:val="white"/>
          <w:rtl w:val="0"/>
        </w:rPr>
        <w:t xml:space="preserve">Instrução Normativa nº 73, de 5 de agosto de 2020, totalizando o valor de </w:t>
      </w:r>
      <w:r w:rsidDel="00000000" w:rsidR="00000000" w:rsidRPr="00000000">
        <w:rPr>
          <w:b w:val="1"/>
          <w:i w:val="1"/>
          <w:color w:val="162937"/>
          <w:highlight w:val="white"/>
          <w:rtl w:val="0"/>
        </w:rPr>
        <w:t xml:space="preserve">R$ 90.882,43 (noventa mil oitocentos e oitenta e dois reais e quarenta e três centavos).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qv1p2catji0v" w:id="4"/>
            <w:bookmarkEnd w:id="4"/>
            <w:r w:rsidDel="00000000" w:rsidR="00000000" w:rsidRPr="00000000">
              <w:rPr>
                <w:rtl w:val="0"/>
              </w:rPr>
              <w:t xml:space="preserve">5. Justificativa para o (não) parcelamento</w:t>
            </w:r>
          </w:p>
        </w:tc>
      </w:tr>
    </w:tbl>
    <w:p w:rsidR="00000000" w:rsidDel="00000000" w:rsidP="00000000" w:rsidRDefault="00000000" w:rsidRPr="00000000" w14:paraId="00000128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Não existe a necessidade de agrupamento dos itens pretendidos nesta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eym99qg42na7" w:id="5"/>
            <w:bookmarkEnd w:id="5"/>
            <w:r w:rsidDel="00000000" w:rsidR="00000000" w:rsidRPr="00000000">
              <w:rPr>
                <w:rtl w:val="0"/>
              </w:rPr>
              <w:t xml:space="preserve">6. Previsão no Plano Anual de Contratações</w:t>
            </w:r>
          </w:p>
        </w:tc>
      </w:tr>
    </w:tbl>
    <w:p w:rsidR="00000000" w:rsidDel="00000000" w:rsidP="00000000" w:rsidRDefault="00000000" w:rsidRPr="00000000" w14:paraId="0000012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 contratação pretendida está prevista no plano anual de aquisições e contratações - PAAC/2018 da Universidade Federal de Alagoas - UFAL.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Style w:val="Heading1"/>
              <w:pageBreakBefore w:val="0"/>
              <w:widowControl w:val="0"/>
              <w:spacing w:line="240" w:lineRule="auto"/>
              <w:rPr/>
            </w:pPr>
            <w:bookmarkStart w:colFirst="0" w:colLast="0" w:name="_g1o46059oljf" w:id="6"/>
            <w:bookmarkEnd w:id="6"/>
            <w:r w:rsidDel="00000000" w:rsidR="00000000" w:rsidRPr="00000000">
              <w:rPr>
                <w:rtl w:val="0"/>
              </w:rPr>
              <w:t xml:space="preserve">7. Viabilidade ou não da contratação</w:t>
            </w:r>
          </w:p>
        </w:tc>
      </w:tr>
    </w:tbl>
    <w:p w:rsidR="00000000" w:rsidDel="00000000" w:rsidP="00000000" w:rsidRDefault="00000000" w:rsidRPr="00000000" w14:paraId="00000132">
      <w:pPr>
        <w:pageBreakBefore w:val="0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 presente ESTUDO TÉCNICO PRELIMINAR mostra que a presente contratação estará em concordância com os princípios da eficácia e economicidade, uma vez que atenderá a demanda real da instituição da maneira menos custosa possível, além de ser tecnicamente aceitável. Diante do exposto, a contratação pretendida apresenta VIABILIDADE.</w:t>
      </w:r>
    </w:p>
    <w:p w:rsidR="00000000" w:rsidDel="00000000" w:rsidP="00000000" w:rsidRDefault="00000000" w:rsidRPr="00000000" w14:paraId="00000133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pageBreakBefore w:val="0"/>
      <w:widowControl w:val="0"/>
      <w:spacing w:line="240" w:lineRule="auto"/>
      <w:ind w:right="567"/>
      <w:jc w:val="center"/>
      <w:rPr>
        <w:rFonts w:ascii="Verdana" w:cs="Verdana" w:eastAsia="Verdana" w:hAnsi="Verdana"/>
        <w:b w:val="1"/>
        <w:sz w:val="40"/>
        <w:szCs w:val="40"/>
      </w:rPr>
    </w:pPr>
    <w:r w:rsidDel="00000000" w:rsidR="00000000" w:rsidRPr="00000000">
      <w:rPr>
        <w:rFonts w:ascii="Verdana" w:cs="Verdana" w:eastAsia="Verdana" w:hAnsi="Verdana"/>
        <w:b w:val="1"/>
        <w:sz w:val="40"/>
        <w:szCs w:val="40"/>
        <w:rtl w:val="0"/>
      </w:rPr>
      <w:t xml:space="preserve">PROGINST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19050</wp:posOffset>
          </wp:positionV>
          <wp:extent cx="566738" cy="780601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7806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19051</wp:posOffset>
          </wp:positionV>
          <wp:extent cx="695325" cy="69532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4">
    <w:pPr>
      <w:pageBreakBefore w:val="0"/>
      <w:widowControl w:val="0"/>
      <w:ind w:right="567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PRÓ-REITORIA DE GESTÃO INSTITUCIONAL</w:t>
    </w:r>
  </w:p>
  <w:p w:rsidR="00000000" w:rsidDel="00000000" w:rsidP="00000000" w:rsidRDefault="00000000" w:rsidRPr="00000000" w14:paraId="00000145">
    <w:pPr>
      <w:pageBreakBefore w:val="0"/>
      <w:widowControl w:val="0"/>
      <w:ind w:right="567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Coordenadoria de Administração, Suprimentos e Serviços</w:t>
    </w:r>
  </w:p>
  <w:p w:rsidR="00000000" w:rsidDel="00000000" w:rsidP="00000000" w:rsidRDefault="00000000" w:rsidRPr="00000000" w14:paraId="00000146">
    <w:pPr>
      <w:pageBreakBefore w:val="0"/>
      <w:widowControl w:val="0"/>
      <w:ind w:right="567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