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TERMO DE INDICIAÇÃO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1.        A Comissão de Procedimento Administrativo Disciplinar Sumário, designada pelo(a) Portaria nº 31, de 15/04/2025, do Corregedor Setorial, publicado(a) no Boletim Interno em 15/04/2025, após ultimar a coleta de todas as provas hábeis à formação de seu convencimento, decide por </w:t>
      </w:r>
      <w:r w:rsidDel="00000000" w:rsidR="00000000" w:rsidRPr="00000000">
        <w:rPr>
          <w:b w:val="1"/>
          <w:rtl w:val="0"/>
        </w:rPr>
        <w:t xml:space="preserve">INDICIAR </w:t>
      </w:r>
      <w:r w:rsidDel="00000000" w:rsidR="00000000" w:rsidRPr="00000000">
        <w:rPr>
          <w:rtl w:val="0"/>
        </w:rPr>
        <w:t xml:space="preserve">a servidora:         </w:t>
      </w:r>
    </w:p>
    <w:p w:rsidR="00000000" w:rsidDel="00000000" w:rsidP="00000000" w:rsidRDefault="00000000" w:rsidRPr="00000000" w14:paraId="00000003">
      <w:pPr>
        <w:spacing w:after="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xxxxxx, cargo, matrícula xxxxx, do(a)xxxxx,, conforme a(s) irregularidade (s), o conjunto probatório, ato(s) e fato(s) a seguir elencados:</w:t>
        <w:br w:type="textWrapping"/>
        <w:t xml:space="preserve"> 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after="240" w:before="0" w:line="36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Abandono de cargo: A servidora teria deixado de comparecer ao trabalho desde</w:t>
      </w:r>
      <w:r w:rsidDel="00000000" w:rsidR="00000000" w:rsidRPr="00000000">
        <w:rPr>
          <w:b w:val="1"/>
          <w:rtl w:val="0"/>
        </w:rPr>
        <w:t xml:space="preserve"> xxxxxx</w:t>
      </w:r>
      <w:r w:rsidDel="00000000" w:rsidR="00000000" w:rsidRPr="00000000">
        <w:rPr>
          <w:rtl w:val="0"/>
        </w:rPr>
        <w:t xml:space="preserve">, mesmo sem estar abarcada por afastamento legal, decisão judicial ou similares. 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Pelo exposto, presentes a materialidade, a antijuridicidade, a conduta reprovável e a culpabilidade da servidora </w:t>
      </w:r>
      <w:r w:rsidDel="00000000" w:rsidR="00000000" w:rsidRPr="00000000">
        <w:rPr>
          <w:b w:val="1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esta comissão o indicia pelo cometimento da infração capitulada em: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Lei 8112 art. 132, II - Abandono de 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2.      Vale destacar que as faltas referentes ao período de —-- estão registradas às fls. —- nos autos do processo administrativo 23065.xxxxxx.202x-xx, o que indica a materialidade da infração administrativa acima tipificada.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3.</w:t>
        <w:tab/>
        <w:t xml:space="preserve">Sendo assim, a Comissão corroborou seu entendimento de que as provas pré-constituídas no processo principal xxxx, são suficientes para indicar a materialidade da infração administrativa de abandono de cargo, configurada pela ausência intencional do(a) servidor(a) por mais de trinta dias consecutivos.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4.</w:t>
        <w:tab/>
        <w:t xml:space="preserve">Tendo sido colhidos, assim, dados suficientes para que a Comissão formasse sua convicção, nesta fase processual, sobre os fatos em apuração, delibera-se pela citação do(a) servidor(a) ora indiciado(a) para apresentação de defesa escrita, no prazo de 5 (cinco) dias, nos termos do disposto no art. 133, § 2º, da Lei nº 8.112, de 1990.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Maceió, XX de XXXX de 2025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NOMES MEMBROS COMISSÃO</w:t>
        <w:br w:type="textWrapping"/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1" w:right="34" w:firstLine="101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6" w:top="1134" w:left="1134" w:right="1134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2405181</wp:posOffset>
          </wp:positionH>
          <wp:positionV relativeFrom="paragraph">
            <wp:posOffset>-293424</wp:posOffset>
          </wp:positionV>
          <wp:extent cx="1350645" cy="784860"/>
          <wp:effectExtent b="0" l="0" r="0" t="0"/>
          <wp:wrapSquare wrapText="bothSides" distB="0" distT="0" distL="114300" distR="114300"/>
          <wp:docPr id="8800803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0645" cy="784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21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Alagoas</w:t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Corregedoria Setorial</w:t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0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3C47ED"/>
    <w:rPr>
      <w:rFonts w:ascii="Arial MT" w:cs="Arial MT" w:eastAsia="Arial MT" w:hAnsi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3C47ED"/>
    <w:rPr>
      <w:rFonts w:ascii="Arial MT" w:cs="Arial MT" w:eastAsia="Arial MT" w:hAnsi="Arial MT"/>
      <w:lang w:val="pt-PT"/>
    </w:rPr>
  </w:style>
  <w:style w:type="paragraph" w:styleId="Corpodetexto">
    <w:name w:val="Body Text"/>
    <w:basedOn w:val="Normal"/>
    <w:uiPriority w:val="1"/>
    <w:qFormat w:val="1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uiPriority w:val="1"/>
    <w:qFormat w:val="1"/>
    <w:pPr>
      <w:ind w:left="1542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3C47ED"/>
    <w:pPr>
      <w:tabs>
        <w:tab w:val="center" w:pos="4252"/>
        <w:tab w:val="right" w:pos="8504"/>
      </w:tabs>
    </w:p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D530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5307B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5307B"/>
    <w:rPr>
      <w:rFonts w:ascii="Arial MT" w:cs="Arial MT" w:eastAsia="Arial MT" w:hAnsi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5307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5307B"/>
    <w:rPr>
      <w:rFonts w:ascii="Arial MT" w:cs="Arial MT" w:eastAsia="Arial MT" w:hAnsi="Arial MT"/>
      <w:b w:val="1"/>
      <w:bCs w:val="1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5307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5307B"/>
    <w:rPr>
      <w:rFonts w:ascii="Segoe UI" w:cs="Segoe UI" w:eastAsia="Arial MT" w:hAnsi="Segoe UI"/>
      <w:sz w:val="18"/>
      <w:szCs w:val="18"/>
      <w:lang w:val="pt-PT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32D55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 w:val="1"/>
    <w:unhideWhenUsed w:val="1"/>
    <w:rsid w:val="00632D55"/>
    <w:pPr>
      <w:widowControl w:val="1"/>
      <w:suppressAutoHyphens w:val="0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632D55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957BBB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B4FE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agOfq3M+1Yn4khlEs2Cch+MRA==">CgMxLjA4AHIhMVRwX2hvRDIyQTBYR19ZWTkwZ05OTFFPZzV1cWRRM2lz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2025-04-15T14:26:00Z</dcterms:created>
  <dc:creator>Rafael Diego Jaires da Silva</dc:creator>
</cp:coreProperties>
</file>